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outlineLvl w:val="0"/>
        <w:rPr>
          <w:rFonts w:hint="eastAsia"/>
          <w:b/>
          <w:color w:val="000000" w:themeColor="text1"/>
          <w:sz w:val="44"/>
          <w:szCs w:val="44"/>
          <w:highlight w:val="none"/>
          <w14:textFill>
            <w14:solidFill>
              <w14:schemeClr w14:val="tx1"/>
            </w14:solidFill>
          </w14:textFill>
        </w:rPr>
      </w:pPr>
      <w:r>
        <w:rPr>
          <w:rFonts w:hint="eastAsia"/>
          <w:b/>
          <w:color w:val="000000" w:themeColor="text1"/>
          <w:sz w:val="44"/>
          <w:szCs w:val="44"/>
          <w:highlight w:val="none"/>
          <w14:textFill>
            <w14:solidFill>
              <w14:schemeClr w14:val="tx1"/>
            </w14:solidFill>
          </w14:textFill>
        </w:rPr>
        <w:t>杭银理财理财计划</w:t>
      </w:r>
      <w:bookmarkStart w:id="0" w:name="_GoBack"/>
      <w:bookmarkEnd w:id="0"/>
      <w:r>
        <w:rPr>
          <w:rFonts w:hint="eastAsia"/>
          <w:b/>
          <w:color w:val="000000" w:themeColor="text1"/>
          <w:sz w:val="44"/>
          <w:szCs w:val="44"/>
          <w:highlight w:val="none"/>
          <w14:textFill>
            <w14:solidFill>
              <w14:schemeClr w14:val="tx1"/>
            </w14:solidFill>
          </w14:textFill>
        </w:rPr>
        <w:t>投资协议书</w:t>
      </w:r>
    </w:p>
    <w:p>
      <w:pPr>
        <w:jc w:val="center"/>
        <w:outlineLvl w:val="1"/>
        <w:rPr>
          <w:rFonts w:hint="eastAsia"/>
          <w:b/>
          <w:color w:val="000000" w:themeColor="text1"/>
          <w:sz w:val="44"/>
          <w:szCs w:val="44"/>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w:t>
      </w:r>
      <w:r>
        <w:rPr>
          <w:rFonts w:hint="eastAsia" w:ascii="宋体" w:hAnsi="宋体" w:cs="宋体"/>
          <w:color w:val="000000" w:themeColor="text1"/>
          <w:sz w:val="28"/>
          <w:szCs w:val="28"/>
          <w:highlight w:val="none"/>
          <w:lang w:eastAsia="zh-CN"/>
          <w14:textFill>
            <w14:solidFill>
              <w14:schemeClr w14:val="tx1"/>
            </w14:solidFill>
          </w14:textFill>
        </w:rPr>
        <w:t>202501</w:t>
      </w:r>
      <w:r>
        <w:rPr>
          <w:rFonts w:hint="eastAsia" w:ascii="宋体" w:hAnsi="宋体" w:cs="宋体"/>
          <w:color w:val="000000" w:themeColor="text1"/>
          <w:sz w:val="28"/>
          <w:szCs w:val="28"/>
          <w:highlight w:val="none"/>
          <w14:textFill>
            <w14:solidFill>
              <w14:schemeClr w14:val="tx1"/>
            </w14:solidFill>
          </w14:textFill>
        </w:rPr>
        <w:t>版）</w:t>
      </w:r>
    </w:p>
    <w:p>
      <w:pPr>
        <w:spacing w:line="360" w:lineRule="auto"/>
        <w:jc w:val="center"/>
        <w:outlineLvl w:val="2"/>
        <w:rPr>
          <w:rFonts w:hint="eastAsia"/>
          <w:b/>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24"/>
          <w:highlight w:val="none"/>
          <w:u w:val="single"/>
          <w14:textFill>
            <w14:solidFill>
              <w14:schemeClr w14:val="tx1"/>
            </w14:solidFill>
          </w14:textFill>
        </w:rPr>
        <w:t>理财非存款、产品有风险、投资须谨慎</w:t>
      </w:r>
    </w:p>
    <w:p>
      <w:pPr>
        <w:spacing w:line="360" w:lineRule="auto"/>
        <w:ind w:firstLine="482" w:firstLineChars="200"/>
        <w:rPr>
          <w:rFonts w:hint="eastAsia"/>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特别提示：杭银理财理财计划投资协议书与</w:t>
      </w:r>
      <w:r>
        <w:rPr>
          <w:rFonts w:hint="eastAsia"/>
          <w:b/>
          <w:bCs/>
          <w:color w:val="000000" w:themeColor="text1"/>
          <w:sz w:val="24"/>
          <w:highlight w:val="none"/>
          <w:lang w:eastAsia="zh-CN"/>
          <w14:textFill>
            <w14:solidFill>
              <w14:schemeClr w14:val="tx1"/>
            </w14:solidFill>
          </w14:textFill>
        </w:rPr>
        <w:t>理财计划风险揭示书、理财计划产品说明书、</w:t>
      </w:r>
      <w:r>
        <w:rPr>
          <w:rFonts w:hint="eastAsia"/>
          <w:b/>
          <w:bCs/>
          <w:color w:val="000000" w:themeColor="text1"/>
          <w:sz w:val="24"/>
          <w:highlight w:val="none"/>
          <w14:textFill>
            <w14:solidFill>
              <w14:schemeClr w14:val="tx1"/>
            </w14:solidFill>
          </w14:textFill>
        </w:rPr>
        <w:t>投资者权益须知</w:t>
      </w:r>
      <w:r>
        <w:rPr>
          <w:rFonts w:hint="eastAsia"/>
          <w:b/>
          <w:bCs/>
          <w:color w:val="000000" w:themeColor="text1"/>
          <w:sz w:val="24"/>
          <w:highlight w:val="none"/>
          <w:lang w:eastAsia="zh-CN"/>
          <w14:textFill>
            <w14:solidFill>
              <w14:schemeClr w14:val="tx1"/>
            </w14:solidFill>
          </w14:textFill>
        </w:rPr>
        <w:t>及理财计划销售协议书</w:t>
      </w:r>
      <w:r>
        <w:rPr>
          <w:rFonts w:hint="eastAsia"/>
          <w:b/>
          <w:bCs/>
          <w:color w:val="000000" w:themeColor="text1"/>
          <w:sz w:val="24"/>
          <w:highlight w:val="none"/>
          <w14:textFill>
            <w14:solidFill>
              <w14:schemeClr w14:val="tx1"/>
            </w14:solidFill>
          </w14:textFill>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ascii="宋体" w:hAnsi="宋体"/>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名词释义</w:t>
      </w:r>
    </w:p>
    <w:p>
      <w:pPr>
        <w:spacing w:line="360" w:lineRule="auto"/>
        <w:ind w:firstLine="480" w:firstLineChars="200"/>
        <w:rPr>
          <w:rFonts w:hint="eastAsia"/>
          <w:bCs/>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详见理财计划说明书“释义”部分。</w:t>
      </w:r>
    </w:p>
    <w:p>
      <w:pPr>
        <w:spacing w:line="360" w:lineRule="auto"/>
        <w:ind w:firstLine="480" w:firstLineChars="200"/>
        <w:rPr>
          <w:rFonts w:hint="eastAsia"/>
          <w:bCs/>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投资者权利与义务</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themeColor="text1"/>
          <w:kern w:val="0"/>
          <w:sz w:val="24"/>
          <w:highlight w:val="none"/>
          <w14:textFill>
            <w14:solidFill>
              <w14:schemeClr w14:val="tx1"/>
            </w14:solidFill>
          </w14:textFill>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投资者保证自身完全了解理财投资的性质，投资所涉及的风险以及自身风险承受能力，在慎重考虑后独立作出交易决定。</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投资者保证其有权利签署本协议和履行本协议所述的义务，并已为此采取一切所需的行为。</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本协议终止前，投资者不得将授权指定账户销户。若发生因投资者注销授权指定账户造成理财计划无法正常兑付的，管理人不承担任何责任。</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投资者进行投资时，应严格遵守反洗钱相关法规的规定，切实履行反洗钱及反恐怖融资义务。 </w:t>
      </w:r>
    </w:p>
    <w:p>
      <w:pPr>
        <w:spacing w:line="360" w:lineRule="auto"/>
        <w:ind w:left="482"/>
        <w:rPr>
          <w:b/>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管理人权利与义务</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管理人应当诚实守信、勤勉尽责地履行受人之托、代人理财职责。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管理人应当按照理财计划销售文件的约定收取管理费用、确定收益分配方案、向投资者分配收益。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管理人应当按照理财计划销售文件的约定履行风险揭示及信息披露义务。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管理人应当确保理财业务与其他业务相分离，理财计划之间相分离，理财业务操作与其他业务操作相分离。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ascii="宋体" w:hAnsi="宋体"/>
          <w:color w:val="000000" w:themeColor="text1"/>
          <w:sz w:val="24"/>
          <w:highlight w:val="none"/>
          <w14:textFill>
            <w14:solidFill>
              <w14:schemeClr w14:val="tx1"/>
            </w14:solidFill>
          </w14:textFill>
        </w:rPr>
        <w:t>管理人不得将理财</w:t>
      </w:r>
      <w:r>
        <w:rPr>
          <w:rFonts w:hint="eastAsia" w:ascii="宋体" w:hAnsi="宋体"/>
          <w:color w:val="000000" w:themeColor="text1"/>
          <w:sz w:val="24"/>
          <w:highlight w:val="none"/>
          <w14:textFill>
            <w14:solidFill>
              <w14:schemeClr w14:val="tx1"/>
            </w14:solidFill>
          </w14:textFill>
        </w:rPr>
        <w:t>计划</w:t>
      </w:r>
      <w:r>
        <w:rPr>
          <w:rFonts w:ascii="宋体" w:hAnsi="宋体"/>
          <w:color w:val="000000" w:themeColor="text1"/>
          <w:sz w:val="24"/>
          <w:highlight w:val="none"/>
          <w14:textFill>
            <w14:solidFill>
              <w14:schemeClr w14:val="tx1"/>
            </w14:solidFill>
          </w14:textFill>
        </w:rPr>
        <w:t>财产归入其自有资产</w:t>
      </w:r>
      <w:r>
        <w:rPr>
          <w:rFonts w:hint="eastAsia" w:ascii="宋体" w:hAnsi="宋体"/>
          <w:color w:val="000000" w:themeColor="text1"/>
          <w:sz w:val="24"/>
          <w:highlight w:val="none"/>
          <w14:textFill>
            <w14:solidFill>
              <w14:schemeClr w14:val="tx1"/>
            </w14:solidFill>
          </w14:textFill>
        </w:rPr>
        <w:t>，</w:t>
      </w:r>
      <w:r>
        <w:rPr>
          <w:rFonts w:ascii="宋体" w:hAnsi="宋体"/>
          <w:color w:val="000000" w:themeColor="text1"/>
          <w:sz w:val="24"/>
          <w:highlight w:val="none"/>
          <w14:textFill>
            <w14:solidFill>
              <w14:schemeClr w14:val="tx1"/>
            </w14:solidFill>
          </w14:textFill>
        </w:rPr>
        <w:t>因依法解散</w:t>
      </w:r>
      <w:r>
        <w:rPr>
          <w:rFonts w:hint="eastAsia" w:ascii="宋体" w:hAnsi="宋体"/>
          <w:color w:val="000000" w:themeColor="text1"/>
          <w:sz w:val="24"/>
          <w:highlight w:val="none"/>
          <w14:textFill>
            <w14:solidFill>
              <w14:schemeClr w14:val="tx1"/>
            </w14:solidFill>
          </w14:textFill>
        </w:rPr>
        <w:t>、</w:t>
      </w:r>
      <w:r>
        <w:rPr>
          <w:rFonts w:ascii="宋体" w:hAnsi="宋体"/>
          <w:color w:val="000000" w:themeColor="text1"/>
          <w:sz w:val="24"/>
          <w:highlight w:val="none"/>
          <w14:textFill>
            <w14:solidFill>
              <w14:schemeClr w14:val="tx1"/>
            </w14:solidFill>
          </w14:textFill>
        </w:rPr>
        <w:t>被依法撤销或者被依法宣告破产等原因进行清算的</w:t>
      </w:r>
      <w:r>
        <w:rPr>
          <w:rFonts w:hint="eastAsia" w:ascii="宋体" w:hAnsi="宋体"/>
          <w:color w:val="000000" w:themeColor="text1"/>
          <w:sz w:val="24"/>
          <w:highlight w:val="none"/>
          <w14:textFill>
            <w14:solidFill>
              <w14:schemeClr w14:val="tx1"/>
            </w14:solidFill>
          </w14:textFill>
        </w:rPr>
        <w:t>，</w:t>
      </w:r>
      <w:r>
        <w:rPr>
          <w:rFonts w:ascii="宋体" w:hAnsi="宋体"/>
          <w:color w:val="000000" w:themeColor="text1"/>
          <w:sz w:val="24"/>
          <w:highlight w:val="none"/>
          <w14:textFill>
            <w14:solidFill>
              <w14:schemeClr w14:val="tx1"/>
            </w14:solidFill>
          </w14:textFill>
        </w:rPr>
        <w:t>理财</w:t>
      </w:r>
      <w:r>
        <w:rPr>
          <w:rFonts w:hint="eastAsia" w:ascii="宋体" w:hAnsi="宋体"/>
          <w:color w:val="000000" w:themeColor="text1"/>
          <w:sz w:val="24"/>
          <w:highlight w:val="none"/>
          <w14:textFill>
            <w14:solidFill>
              <w14:schemeClr w14:val="tx1"/>
            </w14:solidFill>
          </w14:textFill>
        </w:rPr>
        <w:t>计划</w:t>
      </w:r>
      <w:r>
        <w:rPr>
          <w:rFonts w:ascii="宋体" w:hAnsi="宋体"/>
          <w:color w:val="000000" w:themeColor="text1"/>
          <w:sz w:val="24"/>
          <w:highlight w:val="none"/>
          <w14:textFill>
            <w14:solidFill>
              <w14:schemeClr w14:val="tx1"/>
            </w14:solidFill>
          </w14:textFill>
        </w:rPr>
        <w:t>财产不属于其清算财产</w:t>
      </w:r>
      <w:r>
        <w:rPr>
          <w:rFonts w:hint="eastAsia" w:ascii="宋体" w:hAnsi="宋体"/>
          <w:color w:val="000000" w:themeColor="text1"/>
          <w:sz w:val="24"/>
          <w:highlight w:val="none"/>
          <w14:textFill>
            <w14:solidFill>
              <w14:schemeClr w14:val="tx1"/>
            </w14:solidFill>
          </w14:textFill>
        </w:rPr>
        <w:t>。</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管理人应当选择具有证券投资基金托管业务资格的金融机构、银行业理财登记托管机构或者国务院银行业监督管理机构认可的其他机构托管理财计划。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管理人</w:t>
      </w:r>
      <w:r>
        <w:rPr>
          <w:rFonts w:hint="eastAsia" w:ascii="宋体" w:hAnsi="宋体" w:cs="宋体"/>
          <w:bCs/>
          <w:color w:val="000000" w:themeColor="text1"/>
          <w:sz w:val="24"/>
          <w:highlight w:val="none"/>
          <w14:textFill>
            <w14:solidFill>
              <w14:schemeClr w14:val="tx1"/>
            </w14:solidFill>
          </w14:textFill>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themeColor="text1"/>
          <w:sz w:val="24"/>
          <w:highlight w:val="none"/>
          <w:lang w:eastAsia="zh-CN"/>
          <w14:textFill>
            <w14:solidFill>
              <w14:schemeClr w14:val="tx1"/>
            </w14:solidFill>
          </w14:textFill>
        </w:rPr>
        <w:t>，</w:t>
      </w:r>
      <w:r>
        <w:rPr>
          <w:rFonts w:hint="eastAsia" w:ascii="宋体" w:hAnsi="宋体" w:cs="宋体"/>
          <w:b w:val="0"/>
          <w:bCs/>
          <w:color w:val="000000" w:themeColor="text1"/>
          <w:sz w:val="24"/>
          <w:highlight w:val="none"/>
          <w:lang w:val="en-US" w:eastAsia="zh-CN"/>
          <w14:textFill>
            <w14:solidFill>
              <w14:schemeClr w14:val="tx1"/>
            </w14:solidFill>
          </w14:textFill>
        </w:rPr>
        <w:t>授权使用时限与履行相关法律法规和监管要求的必要时限一致</w:t>
      </w:r>
      <w:r>
        <w:rPr>
          <w:rFonts w:hint="eastAsia" w:ascii="宋体" w:hAnsi="宋体" w:cs="宋体"/>
          <w:b w:val="0"/>
          <w:bCs/>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 xml:space="preserve"> </w:t>
      </w:r>
    </w:p>
    <w:p>
      <w:pPr>
        <w:widowControl/>
        <w:numPr>
          <w:ilvl w:val="0"/>
          <w:numId w:val="3"/>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理财计划认（申）购、赎回及终止</w:t>
      </w:r>
    </w:p>
    <w:p>
      <w:pPr>
        <w:widowControl/>
        <w:numPr>
          <w:ilvl w:val="0"/>
          <w:numId w:val="4"/>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理财计划认/申购办理流程：参照《投资者权益须知》约定。 </w:t>
      </w:r>
    </w:p>
    <w:p>
      <w:pPr>
        <w:widowControl/>
        <w:numPr>
          <w:ilvl w:val="0"/>
          <w:numId w:val="4"/>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4"/>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4"/>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理财计划投资品种、投资起点金额、收益支付方式：参照对应期次的《理财计划产品说明书》中的条款约定。 </w:t>
      </w:r>
    </w:p>
    <w:p>
      <w:pPr>
        <w:widowControl/>
        <w:numPr>
          <w:ilvl w:val="0"/>
          <w:numId w:val="4"/>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4"/>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税收处理</w:t>
      </w:r>
    </w:p>
    <w:p>
      <w:pPr>
        <w:widowControl/>
        <w:spacing w:line="360" w:lineRule="auto"/>
        <w:ind w:firstLine="480" w:firstLineChars="200"/>
        <w:contextualSpacing/>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违约责任及免责条款</w:t>
      </w:r>
    </w:p>
    <w:p>
      <w:pPr>
        <w:widowControl/>
        <w:numPr>
          <w:ilvl w:val="0"/>
          <w:numId w:val="5"/>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若因投资人原因导致司法或行政机构采取强制措施对其理财本金、收益进行部分或全部被扣划，均视投资者本人就全部理财本金违约进行了提前</w:t>
      </w:r>
      <w:r>
        <w:rPr>
          <w:rFonts w:hint="eastAsia" w:ascii="宋体" w:hAnsi="宋体"/>
          <w:color w:val="000000" w:themeColor="text1"/>
          <w:sz w:val="24"/>
          <w:highlight w:val="none"/>
          <w:lang w:eastAsia="zh-CN"/>
          <w14:textFill>
            <w14:solidFill>
              <w14:schemeClr w14:val="tx1"/>
            </w14:solidFill>
          </w14:textFill>
        </w:rPr>
        <w:t>赎回</w:t>
      </w:r>
      <w:r>
        <w:rPr>
          <w:rFonts w:hint="eastAsia" w:ascii="宋体" w:hAnsi="宋体"/>
          <w:color w:val="000000" w:themeColor="text1"/>
          <w:sz w:val="24"/>
          <w:highlight w:val="none"/>
          <w14:textFill>
            <w14:solidFill>
              <w14:schemeClr w14:val="tx1"/>
            </w14:solidFill>
          </w14:textFill>
        </w:rPr>
        <w:t>，本合同自动终止。因提前终止而产生的损失及相关费用由投资者承担。本合同前述情况终止的，理财本金不计付</w:t>
      </w:r>
      <w:r>
        <w:rPr>
          <w:rFonts w:hint="eastAsia" w:ascii="宋体" w:hAnsi="宋体"/>
          <w:color w:val="000000" w:themeColor="text1"/>
          <w:sz w:val="24"/>
          <w:highlight w:val="none"/>
          <w:lang w:eastAsia="zh-CN"/>
          <w14:textFill>
            <w14:solidFill>
              <w14:schemeClr w14:val="tx1"/>
            </w14:solidFill>
          </w14:textFill>
        </w:rPr>
        <w:t>赎回</w:t>
      </w:r>
      <w:r>
        <w:rPr>
          <w:rFonts w:hint="eastAsia" w:ascii="宋体" w:hAnsi="宋体"/>
          <w:color w:val="000000" w:themeColor="text1"/>
          <w:sz w:val="24"/>
          <w:highlight w:val="none"/>
          <w14:textFill>
            <w14:solidFill>
              <w14:schemeClr w14:val="tx1"/>
            </w14:solidFill>
          </w14:textFill>
        </w:rPr>
        <w:t>日前的理财收益，也不计付存款利息。</w:t>
      </w:r>
    </w:p>
    <w:p>
      <w:pPr>
        <w:widowControl/>
        <w:numPr>
          <w:ilvl w:val="0"/>
          <w:numId w:val="5"/>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5"/>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若由于管理人过错导致理财计划资产发生损失，管理人应按其过错承担赔偿责任，管理人赔偿的款项计入本理财计划的资产和收益，由所有投资者按理财本金比例分配。</w:t>
      </w:r>
    </w:p>
    <w:p>
      <w:pPr>
        <w:widowControl/>
        <w:numPr>
          <w:ilvl w:val="0"/>
          <w:numId w:val="5"/>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5"/>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因国家有关法律、法规、规章、政策的修改或新的法律、法规、规章、政策颁布以及紧急措施的出台导致的风险及损失，管理人不承担责任。</w:t>
      </w:r>
    </w:p>
    <w:p>
      <w:pPr>
        <w:widowControl/>
        <w:numPr>
          <w:ilvl w:val="0"/>
          <w:numId w:val="5"/>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管理人若严格按照产品说明书相关规定进行投资运作，给投资者造成损失的，应免除管理人责任。</w:t>
      </w:r>
    </w:p>
    <w:p>
      <w:pPr>
        <w:widowControl/>
        <w:spacing w:line="360" w:lineRule="auto"/>
        <w:contextualSpacing/>
        <w:rPr>
          <w:rFonts w:ascii="宋体" w:hAnsi="宋体"/>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适用法律与争议解决</w:t>
      </w:r>
    </w:p>
    <w:p>
      <w:pPr>
        <w:widowControl/>
        <w:spacing w:line="360" w:lineRule="auto"/>
        <w:ind w:firstLine="480" w:firstLineChars="200"/>
        <w:contextualSpacing/>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本合同适用</w:t>
      </w:r>
      <w:r>
        <w:rPr>
          <w:rFonts w:hint="eastAsia" w:ascii="宋体" w:hAnsi="宋体" w:cs="宋体"/>
          <w:bCs/>
          <w:color w:val="000000" w:themeColor="text1"/>
          <w:sz w:val="24"/>
          <w:highlight w:val="none"/>
          <w14:textFill>
            <w14:solidFill>
              <w14:schemeClr w14:val="tx1"/>
            </w14:solidFill>
          </w14:textFill>
        </w:rPr>
        <w:t>中华人民共和国（仅为明确本合同适用法律规则，不含香港特别行政区、澳门特别行政区及中国台湾地区）</w:t>
      </w:r>
      <w:r>
        <w:rPr>
          <w:rFonts w:hint="eastAsia" w:ascii="宋体" w:hAnsi="宋体"/>
          <w:color w:val="000000" w:themeColor="text1"/>
          <w:sz w:val="24"/>
          <w:highlight w:val="none"/>
          <w14:textFill>
            <w14:solidFill>
              <w14:schemeClr w14:val="tx1"/>
            </w14:solidFill>
          </w14:textFill>
        </w:rPr>
        <w:t>的法律和行政法规。本合同项下的及与之有关的一切争议，投资者与管理人双方应首先协商解决，协商不成的，应提交</w:t>
      </w:r>
      <w:r>
        <w:rPr>
          <w:rFonts w:hint="eastAsia" w:ascii="宋体" w:hAnsi="宋体"/>
          <w:color w:val="000000" w:themeColor="text1"/>
          <w:sz w:val="24"/>
          <w:highlight w:val="none"/>
          <w:lang w:val="en-US" w:eastAsia="zh-CN"/>
          <w14:textFill>
            <w14:solidFill>
              <w14:schemeClr w14:val="tx1"/>
            </w14:solidFill>
          </w14:textFill>
        </w:rPr>
        <w:t>被告人</w:t>
      </w:r>
      <w:r>
        <w:rPr>
          <w:rFonts w:hint="eastAsia" w:ascii="宋体" w:hAnsi="宋体"/>
          <w:color w:val="000000" w:themeColor="text1"/>
          <w:sz w:val="24"/>
          <w:highlight w:val="none"/>
          <w14:textFill>
            <w14:solidFill>
              <w14:schemeClr w14:val="tx1"/>
            </w14:solidFill>
          </w14:textFill>
        </w:rPr>
        <w:t>所在地人民法院司法裁决。诉讼期间，未涉及争议的条款仍需继续履行。</w:t>
      </w:r>
    </w:p>
    <w:p>
      <w:pPr>
        <w:spacing w:line="360" w:lineRule="auto"/>
        <w:ind w:left="482"/>
        <w:rPr>
          <w:b/>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协议生效和终止</w:t>
      </w:r>
    </w:p>
    <w:p>
      <w:pPr>
        <w:widowControl/>
        <w:numPr>
          <w:ilvl w:val="0"/>
          <w:numId w:val="6"/>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投资者和管理人双方认可本协议可以纸质或电子数据等形式提交、订立或确认。 </w:t>
      </w:r>
    </w:p>
    <w:p>
      <w:pPr>
        <w:widowControl/>
        <w:numPr>
          <w:ilvl w:val="0"/>
          <w:numId w:val="6"/>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本协议书以纸质书面形式订立的，自投资者</w:t>
      </w:r>
      <w:r>
        <w:rPr>
          <w:rFonts w:hint="eastAsia" w:ascii="宋体" w:hAnsi="宋体"/>
          <w:color w:val="000000" w:themeColor="text1"/>
          <w:sz w:val="24"/>
          <w:highlight w:val="none"/>
          <w:lang w:val="en-US" w:eastAsia="zh-CN"/>
          <w14:textFill>
            <w14:solidFill>
              <w14:schemeClr w14:val="tx1"/>
            </w14:solidFill>
          </w14:textFill>
        </w:rPr>
        <w:t>签署（如投资者为个人，应签字；如投资者为机构，应法定代表人或授权代理人签字或盖章并加盖公章或有效授权印章）并经管理人系统确认购买理财计划份额</w:t>
      </w:r>
      <w:r>
        <w:rPr>
          <w:rFonts w:hint="eastAsia" w:ascii="宋体" w:hAnsi="宋体"/>
          <w:color w:val="000000" w:themeColor="text1"/>
          <w:sz w:val="24"/>
          <w:highlight w:val="none"/>
          <w14:textFill>
            <w14:solidFill>
              <w14:schemeClr w14:val="tx1"/>
            </w14:solidFill>
          </w14:textFill>
        </w:rPr>
        <w:t>之后立即生效。协议一式</w:t>
      </w:r>
      <w:r>
        <w:rPr>
          <w:rFonts w:hint="eastAsia" w:ascii="宋体" w:hAnsi="宋体"/>
          <w:color w:val="000000" w:themeColor="text1"/>
          <w:sz w:val="24"/>
          <w:highlight w:val="none"/>
          <w:lang w:eastAsia="zh-CN"/>
          <w14:textFill>
            <w14:solidFill>
              <w14:schemeClr w14:val="tx1"/>
            </w14:solidFill>
          </w14:textFill>
        </w:rPr>
        <w:t>贰</w:t>
      </w:r>
      <w:r>
        <w:rPr>
          <w:rFonts w:hint="eastAsia" w:ascii="宋体" w:hAnsi="宋体"/>
          <w:color w:val="000000" w:themeColor="text1"/>
          <w:sz w:val="24"/>
          <w:highlight w:val="none"/>
          <w14:textFill>
            <w14:solidFill>
              <w14:schemeClr w14:val="tx1"/>
            </w14:solidFill>
          </w14:textFill>
        </w:rPr>
        <w:t>份，投资者和管理人双方各执</w:t>
      </w:r>
      <w:r>
        <w:rPr>
          <w:rFonts w:hint="eastAsia" w:ascii="宋体" w:hAnsi="宋体"/>
          <w:color w:val="000000" w:themeColor="text1"/>
          <w:sz w:val="24"/>
          <w:highlight w:val="none"/>
          <w:lang w:eastAsia="zh-CN"/>
          <w14:textFill>
            <w14:solidFill>
              <w14:schemeClr w14:val="tx1"/>
            </w14:solidFill>
          </w14:textFill>
        </w:rPr>
        <w:t>壹</w:t>
      </w:r>
      <w:r>
        <w:rPr>
          <w:rFonts w:hint="eastAsia" w:ascii="宋体" w:hAnsi="宋体"/>
          <w:color w:val="000000" w:themeColor="text1"/>
          <w:sz w:val="24"/>
          <w:highlight w:val="none"/>
          <w14:textFill>
            <w14:solidFill>
              <w14:schemeClr w14:val="tx1"/>
            </w14:solidFill>
          </w14:textFill>
        </w:rPr>
        <w:t xml:space="preserve">份，具有同等法律效力。 </w:t>
      </w:r>
    </w:p>
    <w:p>
      <w:pPr>
        <w:widowControl/>
        <w:numPr>
          <w:ilvl w:val="0"/>
          <w:numId w:val="6"/>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6"/>
        </w:numPr>
        <w:spacing w:line="360" w:lineRule="auto"/>
        <w:ind w:firstLine="480" w:firstLineChars="200"/>
        <w:contextualSpacing/>
        <w:outlineLvl w:val="9"/>
        <w:rPr>
          <w:rFonts w:hint="eastAsia"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color w:val="000000" w:themeColor="text1"/>
          <w:sz w:val="24"/>
          <w:highlight w:val="none"/>
          <w14:textFill>
            <w14:solidFill>
              <w14:schemeClr w14:val="tx1"/>
            </w14:solidFill>
          </w14:textFill>
        </w:rPr>
      </w:pPr>
    </w:p>
    <w:p>
      <w:pPr>
        <w:numPr>
          <w:ilvl w:val="0"/>
          <w:numId w:val="1"/>
        </w:numPr>
        <w:spacing w:line="360" w:lineRule="auto"/>
        <w:ind w:firstLine="482" w:firstLineChars="200"/>
        <w:outlineLvl w:val="2"/>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附则</w:t>
      </w:r>
    </w:p>
    <w:p>
      <w:pPr>
        <w:widowControl/>
        <w:numPr>
          <w:ilvl w:val="0"/>
          <w:numId w:val="7"/>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如果投资者与管理人之间存在多份理财计划协议书，则每一份协议书分别与其所对应的产品说明书等销售文本单独构成一个理财计划交易合同，各个合同之间互相独立，每一合同的效力及履行情况均独立于其他合同。</w:t>
      </w:r>
    </w:p>
    <w:p>
      <w:pPr>
        <w:widowControl/>
        <w:numPr>
          <w:ilvl w:val="0"/>
          <w:numId w:val="7"/>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如果由于任何原因使本合同下的任何条款或内容成为无效或被依法撤销，本合同其他条款或内容的合法性、有效性和可执行性不受影响。</w:t>
      </w:r>
    </w:p>
    <w:p>
      <w:pPr>
        <w:widowControl/>
        <w:numPr>
          <w:ilvl w:val="0"/>
          <w:numId w:val="7"/>
        </w:numPr>
        <w:spacing w:line="360" w:lineRule="auto"/>
        <w:ind w:firstLine="480" w:firstLineChars="200"/>
        <w:contextualSpacing/>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在理财计划存续期内，如因监管政策或法律法规发生变化，在不损害投资者利益的前提下，管理人有权单方对理财计划合同进行修订。</w:t>
      </w:r>
    </w:p>
    <w:p>
      <w:pPr>
        <w:spacing w:line="360" w:lineRule="auto"/>
        <w:ind w:firstLine="480" w:firstLineChars="200"/>
        <w:rPr>
          <w:rFonts w:ascii="宋体" w:hAnsi="宋体" w:cs="宋体"/>
          <w:bCs/>
          <w:color w:val="000000" w:themeColor="text1"/>
          <w:sz w:val="24"/>
          <w:highlight w:val="none"/>
          <w14:textFill>
            <w14:solidFill>
              <w14:schemeClr w14:val="tx1"/>
            </w14:solidFill>
          </w14:textFill>
        </w:rPr>
      </w:pPr>
    </w:p>
    <w:p>
      <w:pPr>
        <w:spacing w:line="360" w:lineRule="auto"/>
        <w:ind w:firstLine="480" w:firstLineChars="200"/>
        <w:rPr>
          <w:rFonts w:ascii="宋体" w:hAnsi="宋体" w:cs="宋体"/>
          <w:bCs/>
          <w:color w:val="000000" w:themeColor="text1"/>
          <w:sz w:val="24"/>
          <w:highlight w:val="none"/>
          <w14:textFill>
            <w14:solidFill>
              <w14:schemeClr w14:val="tx1"/>
            </w14:solidFill>
          </w14:textFill>
        </w:rPr>
      </w:pPr>
    </w:p>
    <w:p>
      <w:pPr>
        <w:pStyle w:val="9"/>
        <w:widowControl/>
        <w:spacing w:line="360" w:lineRule="auto"/>
        <w:jc w:val="right"/>
        <w:rPr>
          <w:rFonts w:hint="eastAsia" w:ascii="宋体" w:hAnsi="Wingdings"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14:textFill>
            <w14:solidFill>
              <w14:schemeClr w14:val="tx1"/>
            </w14:solidFill>
          </w14:textFill>
        </w:rPr>
        <w:t>杭银理财有限责任公司</w:t>
      </w:r>
    </w:p>
    <w:p>
      <w:pPr>
        <w:spacing w:line="360" w:lineRule="auto"/>
        <w:rPr>
          <w:rFonts w:ascii="宋体" w:hAnsi="宋体" w:cs="宋体"/>
          <w:bCs/>
          <w:color w:val="000000" w:themeColor="text1"/>
          <w:sz w:val="24"/>
          <w:highlight w:val="none"/>
          <w14:textFill>
            <w14:solidFill>
              <w14:schemeClr w14:val="tx1"/>
            </w14:solidFill>
          </w14:textFill>
        </w:rPr>
      </w:pPr>
    </w:p>
    <w:p>
      <w:pPr>
        <w:spacing w:line="360" w:lineRule="auto"/>
        <w:rPr>
          <w:rFonts w:ascii="宋体" w:hAnsi="宋体" w:cs="宋体"/>
          <w:bCs/>
          <w:color w:val="000000" w:themeColor="text1"/>
          <w:sz w:val="24"/>
          <w:highlight w:val="none"/>
          <w14:textFill>
            <w14:solidFill>
              <w14:schemeClr w14:val="tx1"/>
            </w14:solidFill>
          </w14:textFill>
        </w:rPr>
      </w:pPr>
    </w:p>
    <w:p>
      <w:pPr>
        <w:spacing w:line="360" w:lineRule="auto"/>
        <w:rPr>
          <w:rFonts w:ascii="宋体" w:hAnsi="宋体" w:cs="宋体"/>
          <w:bCs/>
          <w:color w:val="000000" w:themeColor="text1"/>
          <w:sz w:val="24"/>
          <w:highlight w:val="none"/>
          <w14:textFill>
            <w14:solidFill>
              <w14:schemeClr w14:val="tx1"/>
            </w14:solidFill>
          </w14:textFill>
        </w:rPr>
      </w:pPr>
    </w:p>
    <w:p>
      <w:pPr>
        <w:jc w:val="center"/>
        <w:outlineLvl w:val="9"/>
        <w:rPr>
          <w:rFonts w:hint="eastAsia" w:ascii="Calibri" w:hAnsi="Calibri" w:eastAsia="宋体" w:cs="黑体"/>
          <w:b/>
          <w:bCs w:val="0"/>
          <w:color w:val="000000" w:themeColor="text1"/>
          <w:sz w:val="44"/>
          <w:szCs w:val="44"/>
          <w:highlight w:val="none"/>
          <w:lang w:val="en-US" w:eastAsia="zh-CN"/>
          <w14:textFill>
            <w14:solidFill>
              <w14:schemeClr w14:val="tx1"/>
            </w14:solidFill>
          </w14:textFill>
        </w:rPr>
      </w:pPr>
    </w:p>
    <w:p>
      <w:pPr>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本页为纸质形式（如有）</w:t>
      </w:r>
      <w:r>
        <w:rPr>
          <w:rFonts w:hint="eastAsia" w:ascii="宋体" w:hAnsi="宋体"/>
          <w:color w:val="000000" w:themeColor="text1"/>
          <w:sz w:val="24"/>
          <w:highlight w:val="none"/>
          <w:lang w:val="en-US" w:eastAsia="zh-CN"/>
          <w14:textFill>
            <w14:solidFill>
              <w14:schemeClr w14:val="tx1"/>
            </w14:solidFill>
          </w14:textFill>
        </w:rPr>
        <w:t>投资</w:t>
      </w:r>
      <w:r>
        <w:rPr>
          <w:rFonts w:hint="eastAsia" w:ascii="宋体" w:hAnsi="宋体"/>
          <w:color w:val="000000" w:themeColor="text1"/>
          <w:sz w:val="24"/>
          <w:highlight w:val="none"/>
          <w14:textFill>
            <w14:solidFill>
              <w14:schemeClr w14:val="tx1"/>
            </w14:solidFill>
          </w14:textFill>
        </w:rPr>
        <w:t>协议书签章页</w:t>
      </w: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color w:val="000000" w:themeColor="text1"/>
          <w:sz w:val="24"/>
          <w:highlight w:val="none"/>
          <w14:textFill>
            <w14:solidFill>
              <w14:schemeClr w14:val="tx1"/>
            </w14:solidFill>
          </w14:textFill>
        </w:rPr>
      </w:pPr>
    </w:p>
    <w:p>
      <w:pPr>
        <w:spacing w:line="360" w:lineRule="auto"/>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投资者（签字</w:t>
      </w:r>
      <w:r>
        <w:rPr>
          <w:rFonts w:hint="eastAsia" w:ascii="宋体" w:hAnsi="宋体" w:eastAsia="宋体" w:cs="黑体"/>
          <w:b/>
          <w:bCs/>
          <w:color w:val="000000" w:themeColor="text1"/>
          <w:sz w:val="24"/>
          <w:highlight w:val="none"/>
          <w:lang w:eastAsia="zh-CN"/>
          <w14:textFill>
            <w14:solidFill>
              <w14:schemeClr w14:val="tx1"/>
            </w14:solidFill>
          </w14:textFill>
        </w:rPr>
        <w:t>或签章</w:t>
      </w:r>
      <w:r>
        <w:rPr>
          <w:rFonts w:hint="eastAsia" w:ascii="宋体" w:hAnsi="宋体"/>
          <w:b/>
          <w:bCs/>
          <w:color w:val="000000" w:themeColor="text1"/>
          <w:sz w:val="24"/>
          <w:highlight w:val="none"/>
          <w14:textFill>
            <w14:solidFill>
              <w14:schemeClr w14:val="tx1"/>
            </w14:solidFill>
          </w14:textFill>
        </w:rPr>
        <w:t>）：</w:t>
      </w:r>
    </w:p>
    <w:p>
      <w:pPr>
        <w:spacing w:line="360" w:lineRule="auto"/>
        <w:rPr>
          <w:rFonts w:hint="eastAsia" w:ascii="宋体" w:hAnsi="宋体"/>
          <w:b/>
          <w:bCs/>
          <w:color w:val="000000" w:themeColor="text1"/>
          <w:sz w:val="24"/>
          <w:highlight w:val="none"/>
          <w14:textFill>
            <w14:solidFill>
              <w14:schemeClr w14:val="tx1"/>
            </w14:solidFill>
          </w14:textFill>
        </w:rPr>
      </w:pPr>
    </w:p>
    <w:p>
      <w:pPr>
        <w:spacing w:line="360" w:lineRule="auto"/>
        <w:rPr>
          <w:rFonts w:hint="eastAsia" w:ascii="宋体" w:hAnsi="宋体"/>
          <w:b/>
          <w:bCs/>
          <w:color w:val="000000" w:themeColor="text1"/>
          <w:sz w:val="24"/>
          <w:highlight w:val="none"/>
          <w14:textFill>
            <w14:solidFill>
              <w14:schemeClr w14:val="tx1"/>
            </w14:solidFill>
          </w14:textFill>
        </w:rPr>
      </w:pPr>
    </w:p>
    <w:p>
      <w:pPr>
        <w:spacing w:before="156" w:beforeLines="50" w:after="156" w:afterLines="50" w:line="360" w:lineRule="auto"/>
        <w:ind w:firstLine="4800" w:firstLineChars="2000"/>
        <w:jc w:val="right"/>
        <w:rPr>
          <w:rFonts w:hint="eastAsia" w:ascii="Arial" w:hAnsi="Arial"/>
          <w:color w:val="000000" w:themeColor="text1"/>
          <w:sz w:val="24"/>
          <w:highlight w:val="none"/>
          <w14:textFill>
            <w14:solidFill>
              <w14:schemeClr w14:val="tx1"/>
            </w14:solidFill>
          </w14:textFill>
        </w:rPr>
      </w:pPr>
      <w:r>
        <w:rPr>
          <w:rFonts w:hint="eastAsia" w:ascii="Arial" w:hAnsi="Arial"/>
          <w:color w:val="000000" w:themeColor="text1"/>
          <w:sz w:val="24"/>
          <w:highlight w:val="none"/>
          <w14:textFill>
            <w14:solidFill>
              <w14:schemeClr w14:val="tx1"/>
            </w14:solidFill>
          </w14:textFill>
        </w:rPr>
        <w:t xml:space="preserve">   年   月   日</w:t>
      </w:r>
    </w:p>
    <w:p>
      <w:pPr>
        <w:jc w:val="left"/>
        <w:outlineLvl w:val="9"/>
        <w:rPr>
          <w:rFonts w:hint="eastAsia" w:ascii="Calibri" w:hAnsi="Calibri" w:eastAsia="宋体" w:cs="黑体"/>
          <w:b/>
          <w:bCs w:val="0"/>
          <w:color w:val="000000" w:themeColor="text1"/>
          <w:sz w:val="44"/>
          <w:szCs w:val="44"/>
          <w:highlight w:val="none"/>
          <w:lang w:val="en-US" w:eastAsia="zh-CN"/>
          <w14:textFill>
            <w14:solidFill>
              <w14:schemeClr w14:val="tx1"/>
            </w14:solidFill>
          </w14:textFill>
        </w:rPr>
      </w:pPr>
    </w:p>
    <w:p>
      <w:pPr>
        <w:spacing w:line="360" w:lineRule="auto"/>
        <w:rPr>
          <w:rFonts w:ascii="宋体" w:hAnsi="宋体" w:cs="宋体"/>
          <w:bCs/>
          <w:color w:val="000000" w:themeColor="text1"/>
          <w:sz w:val="24"/>
          <w:highlight w:val="none"/>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zql5uc8AAAAFAQAA&#10;DwAAAAAAAAABACAAAAAiAAAAZHJzL2Rvd25yZXYueG1sUEsBAhQAFAAAAAgAh07iQInj1Y+wAQAA&#10;TgMAAA4AAAAAAAAAAQAgAAAAHgEAAGRycy9lMm9Eb2MueG1sUEsFBgAAAAAGAAYAWQEAAEAFAAAA&#10;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42</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left"/>
      <w:rPr>
        <w:rFonts w:hint="default" w:eastAsia="宋体"/>
        <w:b/>
        <w:bCs/>
        <w:lang w:val="en-US" w:eastAsia="zh-CN"/>
      </w:rPr>
    </w:pPr>
    <w:r>
      <w:rPr>
        <w:rFonts w:hint="default" w:eastAsia="宋体"/>
        <w:b/>
        <w:bCs/>
        <w:color w:val="auto"/>
        <w:lang w:val="en-US" w:eastAsia="zh-CN"/>
      </w:rPr>
      <w:drawing>
        <wp:anchor distT="0" distB="0" distL="114300" distR="114300" simplePos="0" relativeHeight="251659264" behindDoc="1" locked="0" layoutInCell="1" allowOverlap="1">
          <wp:simplePos x="0" y="0"/>
          <wp:positionH relativeFrom="column">
            <wp:posOffset>5181600</wp:posOffset>
          </wp:positionH>
          <wp:positionV relativeFrom="paragraph">
            <wp:posOffset>-585470</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102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25"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b/>
        <w:bCs/>
        <w:color w:val="auto"/>
        <w:lang w:eastAsia="zh-CN"/>
      </w:rPr>
      <w:t>理财非存款</w:t>
    </w:r>
    <w:r>
      <w:rPr>
        <w:rFonts w:hint="eastAsia"/>
        <w:b/>
        <w:bCs/>
        <w:color w:val="auto"/>
        <w:lang w:val="en-US" w:eastAsia="zh-CN"/>
      </w:rPr>
      <w:t xml:space="preserve"> 产品有风险 投资须谨慎</w:t>
    </w:r>
    <w:r>
      <w:rPr>
        <w:rFonts w:hint="eastAsia"/>
        <w:b/>
        <w:bCs/>
        <w:color w:val="FF0000"/>
        <w:lang w:val="en-US" w:eastAsia="zh-CN"/>
      </w:rPr>
      <w:t xml:space="preserve">  </w:t>
    </w:r>
    <w:r>
      <w:rPr>
        <w:rFonts w:hint="eastAsia"/>
        <w:b/>
        <w:bCs/>
        <w:color w:val="auto"/>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26EF"/>
    <w:multiLevelType w:val="singleLevel"/>
    <w:tmpl w:val="B08226EF"/>
    <w:lvl w:ilvl="0" w:tentative="0">
      <w:start w:val="1"/>
      <w:numFmt w:val="chineseCounting"/>
      <w:suff w:val="space"/>
      <w:lvlText w:val="第%1条"/>
      <w:lvlJc w:val="left"/>
      <w:rPr>
        <w:rFonts w:hint="eastAsia"/>
      </w:rPr>
    </w:lvl>
  </w:abstractNum>
  <w:abstractNum w:abstractNumId="1">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2">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3">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4">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5">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
    <w:nsid w:val="60C03933"/>
    <w:multiLevelType w:val="singleLevel"/>
    <w:tmpl w:val="60C03933"/>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ab8c09fc-ebb4-4f15-b49e-3b6144cc8e86"/>
  </w:docVars>
  <w:rsids>
    <w:rsidRoot w:val="00172A27"/>
    <w:rsid w:val="004A3A51"/>
    <w:rsid w:val="01364432"/>
    <w:rsid w:val="01523B8E"/>
    <w:rsid w:val="01DC0FD1"/>
    <w:rsid w:val="01E60817"/>
    <w:rsid w:val="01F454C1"/>
    <w:rsid w:val="026069C2"/>
    <w:rsid w:val="036B5FEB"/>
    <w:rsid w:val="040B79D9"/>
    <w:rsid w:val="0449537A"/>
    <w:rsid w:val="04886CA1"/>
    <w:rsid w:val="04A52A8E"/>
    <w:rsid w:val="04A74955"/>
    <w:rsid w:val="050A18A0"/>
    <w:rsid w:val="05C21734"/>
    <w:rsid w:val="05E05E4D"/>
    <w:rsid w:val="05EC08FE"/>
    <w:rsid w:val="06420CFA"/>
    <w:rsid w:val="06503B59"/>
    <w:rsid w:val="06DF6F6A"/>
    <w:rsid w:val="0752555A"/>
    <w:rsid w:val="07993F2A"/>
    <w:rsid w:val="07E45984"/>
    <w:rsid w:val="081B7D56"/>
    <w:rsid w:val="0828699A"/>
    <w:rsid w:val="082B58DC"/>
    <w:rsid w:val="082E46BF"/>
    <w:rsid w:val="087B5F6E"/>
    <w:rsid w:val="08E37254"/>
    <w:rsid w:val="097E3F67"/>
    <w:rsid w:val="09851159"/>
    <w:rsid w:val="09B01B43"/>
    <w:rsid w:val="0A1347F5"/>
    <w:rsid w:val="0A2A32B9"/>
    <w:rsid w:val="0B8E27E3"/>
    <w:rsid w:val="0BF71AE2"/>
    <w:rsid w:val="0CA6603D"/>
    <w:rsid w:val="0D0B1B00"/>
    <w:rsid w:val="0D6B1503"/>
    <w:rsid w:val="0DD032F9"/>
    <w:rsid w:val="0E0E4CD5"/>
    <w:rsid w:val="0E4A4B6F"/>
    <w:rsid w:val="0E670397"/>
    <w:rsid w:val="0EAE473F"/>
    <w:rsid w:val="0EB6095A"/>
    <w:rsid w:val="0EF65480"/>
    <w:rsid w:val="0F920B86"/>
    <w:rsid w:val="103A21BC"/>
    <w:rsid w:val="10D261C8"/>
    <w:rsid w:val="10E7087B"/>
    <w:rsid w:val="10FA5463"/>
    <w:rsid w:val="11BA058F"/>
    <w:rsid w:val="11C23A9E"/>
    <w:rsid w:val="12081858"/>
    <w:rsid w:val="12B62B3B"/>
    <w:rsid w:val="13031153"/>
    <w:rsid w:val="13181417"/>
    <w:rsid w:val="141530E1"/>
    <w:rsid w:val="142A3D0A"/>
    <w:rsid w:val="14C57FED"/>
    <w:rsid w:val="14CF62D8"/>
    <w:rsid w:val="150C5665"/>
    <w:rsid w:val="153D4CD7"/>
    <w:rsid w:val="159302CA"/>
    <w:rsid w:val="15C56302"/>
    <w:rsid w:val="15D419A2"/>
    <w:rsid w:val="160940BB"/>
    <w:rsid w:val="1659752C"/>
    <w:rsid w:val="16E43A7F"/>
    <w:rsid w:val="185A3DA1"/>
    <w:rsid w:val="18E6578A"/>
    <w:rsid w:val="18F22962"/>
    <w:rsid w:val="190E0A8A"/>
    <w:rsid w:val="196411E6"/>
    <w:rsid w:val="19866890"/>
    <w:rsid w:val="198C4B50"/>
    <w:rsid w:val="19DA666D"/>
    <w:rsid w:val="19F13F4F"/>
    <w:rsid w:val="1A102675"/>
    <w:rsid w:val="1A876B8B"/>
    <w:rsid w:val="1B280245"/>
    <w:rsid w:val="1BBE4697"/>
    <w:rsid w:val="1BEE4FD6"/>
    <w:rsid w:val="1C3F1BB8"/>
    <w:rsid w:val="1C46238A"/>
    <w:rsid w:val="1D3C4AE8"/>
    <w:rsid w:val="1D552DD9"/>
    <w:rsid w:val="1DAB6D83"/>
    <w:rsid w:val="1E2D0038"/>
    <w:rsid w:val="1E3173A3"/>
    <w:rsid w:val="1E410106"/>
    <w:rsid w:val="1E7432BB"/>
    <w:rsid w:val="1ED938B7"/>
    <w:rsid w:val="1F0F5A19"/>
    <w:rsid w:val="1F1D6E1F"/>
    <w:rsid w:val="1F3E7F7D"/>
    <w:rsid w:val="1F51312D"/>
    <w:rsid w:val="1FA140B4"/>
    <w:rsid w:val="1FC9553A"/>
    <w:rsid w:val="20137C57"/>
    <w:rsid w:val="204D3B12"/>
    <w:rsid w:val="205A2AB3"/>
    <w:rsid w:val="20B6224D"/>
    <w:rsid w:val="21025026"/>
    <w:rsid w:val="21B93623"/>
    <w:rsid w:val="21C22F06"/>
    <w:rsid w:val="22A04AF7"/>
    <w:rsid w:val="22D32481"/>
    <w:rsid w:val="22D3594B"/>
    <w:rsid w:val="22F12819"/>
    <w:rsid w:val="23393314"/>
    <w:rsid w:val="23753F06"/>
    <w:rsid w:val="238D2456"/>
    <w:rsid w:val="238E1AAE"/>
    <w:rsid w:val="240F2156"/>
    <w:rsid w:val="24345B9A"/>
    <w:rsid w:val="2483647E"/>
    <w:rsid w:val="256F076F"/>
    <w:rsid w:val="2610340F"/>
    <w:rsid w:val="26820AF7"/>
    <w:rsid w:val="26966D40"/>
    <w:rsid w:val="292668E3"/>
    <w:rsid w:val="29E26197"/>
    <w:rsid w:val="2A1B5D68"/>
    <w:rsid w:val="2A5975B6"/>
    <w:rsid w:val="2A991D32"/>
    <w:rsid w:val="2AB92324"/>
    <w:rsid w:val="2AD6555A"/>
    <w:rsid w:val="2AE62718"/>
    <w:rsid w:val="2B1902F3"/>
    <w:rsid w:val="2B376BE0"/>
    <w:rsid w:val="2BE72798"/>
    <w:rsid w:val="2C1A577E"/>
    <w:rsid w:val="2C1B1E9D"/>
    <w:rsid w:val="2CAB68C5"/>
    <w:rsid w:val="2E45409C"/>
    <w:rsid w:val="2EBC6D03"/>
    <w:rsid w:val="2F1F666C"/>
    <w:rsid w:val="2F59643F"/>
    <w:rsid w:val="2F802D62"/>
    <w:rsid w:val="2FD32A37"/>
    <w:rsid w:val="2FE9188B"/>
    <w:rsid w:val="30551FFC"/>
    <w:rsid w:val="307D2E0A"/>
    <w:rsid w:val="30E93DB6"/>
    <w:rsid w:val="311F702A"/>
    <w:rsid w:val="314968B6"/>
    <w:rsid w:val="31A82883"/>
    <w:rsid w:val="320E3E15"/>
    <w:rsid w:val="32C937E9"/>
    <w:rsid w:val="333F6AA7"/>
    <w:rsid w:val="33F7523E"/>
    <w:rsid w:val="3480359E"/>
    <w:rsid w:val="34BE4ED5"/>
    <w:rsid w:val="352B31D6"/>
    <w:rsid w:val="35476F5E"/>
    <w:rsid w:val="35C572EB"/>
    <w:rsid w:val="3602513D"/>
    <w:rsid w:val="36631FD8"/>
    <w:rsid w:val="366A0F47"/>
    <w:rsid w:val="36E72D9B"/>
    <w:rsid w:val="377E5373"/>
    <w:rsid w:val="379F2ED6"/>
    <w:rsid w:val="37CA172C"/>
    <w:rsid w:val="37CB10A0"/>
    <w:rsid w:val="38071350"/>
    <w:rsid w:val="38224FD0"/>
    <w:rsid w:val="38696564"/>
    <w:rsid w:val="38BC5508"/>
    <w:rsid w:val="3A3E2041"/>
    <w:rsid w:val="3B131EF6"/>
    <w:rsid w:val="3B490D86"/>
    <w:rsid w:val="3C2F2290"/>
    <w:rsid w:val="3CE74578"/>
    <w:rsid w:val="3D8434FB"/>
    <w:rsid w:val="3E163924"/>
    <w:rsid w:val="3EA67C14"/>
    <w:rsid w:val="3EAD1B36"/>
    <w:rsid w:val="3F056B9E"/>
    <w:rsid w:val="3F354A62"/>
    <w:rsid w:val="3FF54C55"/>
    <w:rsid w:val="40067AC8"/>
    <w:rsid w:val="406370BC"/>
    <w:rsid w:val="40B14631"/>
    <w:rsid w:val="40FB7670"/>
    <w:rsid w:val="41B60000"/>
    <w:rsid w:val="423C06E2"/>
    <w:rsid w:val="42815397"/>
    <w:rsid w:val="42C94634"/>
    <w:rsid w:val="43423D19"/>
    <w:rsid w:val="43B62261"/>
    <w:rsid w:val="43BA23DE"/>
    <w:rsid w:val="45540446"/>
    <w:rsid w:val="45BB5620"/>
    <w:rsid w:val="45F127ED"/>
    <w:rsid w:val="46263D02"/>
    <w:rsid w:val="46CD66A0"/>
    <w:rsid w:val="46D80EF6"/>
    <w:rsid w:val="472803B7"/>
    <w:rsid w:val="488B59A4"/>
    <w:rsid w:val="494502E1"/>
    <w:rsid w:val="4A3D69E6"/>
    <w:rsid w:val="4A6F7B99"/>
    <w:rsid w:val="4A7F0ADF"/>
    <w:rsid w:val="4AA612F0"/>
    <w:rsid w:val="4B0D3113"/>
    <w:rsid w:val="4B5270B8"/>
    <w:rsid w:val="4C43202F"/>
    <w:rsid w:val="4C4D2C94"/>
    <w:rsid w:val="4C6B0DDA"/>
    <w:rsid w:val="4C6E1306"/>
    <w:rsid w:val="4CAB7CC1"/>
    <w:rsid w:val="4DEE1021"/>
    <w:rsid w:val="4E186164"/>
    <w:rsid w:val="4E2F1033"/>
    <w:rsid w:val="4E8274B0"/>
    <w:rsid w:val="4E8C0674"/>
    <w:rsid w:val="4EFC1B31"/>
    <w:rsid w:val="4F2836A5"/>
    <w:rsid w:val="4FF363B3"/>
    <w:rsid w:val="501216FC"/>
    <w:rsid w:val="50B73634"/>
    <w:rsid w:val="513B62C0"/>
    <w:rsid w:val="51504FE6"/>
    <w:rsid w:val="53111AD8"/>
    <w:rsid w:val="532207FA"/>
    <w:rsid w:val="53FE3DB0"/>
    <w:rsid w:val="54E91D9C"/>
    <w:rsid w:val="552247DE"/>
    <w:rsid w:val="55A47BB4"/>
    <w:rsid w:val="55D11632"/>
    <w:rsid w:val="55E92585"/>
    <w:rsid w:val="56216A6F"/>
    <w:rsid w:val="56804A86"/>
    <w:rsid w:val="57184991"/>
    <w:rsid w:val="5790790A"/>
    <w:rsid w:val="57BB6218"/>
    <w:rsid w:val="57FF3AAA"/>
    <w:rsid w:val="58DD2EEE"/>
    <w:rsid w:val="58E96C7A"/>
    <w:rsid w:val="598B0B6B"/>
    <w:rsid w:val="59AD3C67"/>
    <w:rsid w:val="59CC6D6F"/>
    <w:rsid w:val="5A1A1165"/>
    <w:rsid w:val="5ABA33EB"/>
    <w:rsid w:val="5B0D630F"/>
    <w:rsid w:val="5B5D608F"/>
    <w:rsid w:val="5C33703B"/>
    <w:rsid w:val="5C3C3DDC"/>
    <w:rsid w:val="5D160516"/>
    <w:rsid w:val="5D7D0F36"/>
    <w:rsid w:val="5DB61BFF"/>
    <w:rsid w:val="5DEF454B"/>
    <w:rsid w:val="5E5A6C63"/>
    <w:rsid w:val="5F253B25"/>
    <w:rsid w:val="5F3C6712"/>
    <w:rsid w:val="5F4B58F3"/>
    <w:rsid w:val="6053481F"/>
    <w:rsid w:val="606E0DED"/>
    <w:rsid w:val="60716FC0"/>
    <w:rsid w:val="60AB2000"/>
    <w:rsid w:val="610129B1"/>
    <w:rsid w:val="612D6938"/>
    <w:rsid w:val="61D7419E"/>
    <w:rsid w:val="61D85325"/>
    <w:rsid w:val="62860AAA"/>
    <w:rsid w:val="628B7CEE"/>
    <w:rsid w:val="629D5796"/>
    <w:rsid w:val="62C476E5"/>
    <w:rsid w:val="657A160B"/>
    <w:rsid w:val="664C3C6E"/>
    <w:rsid w:val="66BE050C"/>
    <w:rsid w:val="66DD4F9F"/>
    <w:rsid w:val="67182835"/>
    <w:rsid w:val="671E2162"/>
    <w:rsid w:val="678438DB"/>
    <w:rsid w:val="67CD5EA6"/>
    <w:rsid w:val="686B34D1"/>
    <w:rsid w:val="68D8721E"/>
    <w:rsid w:val="6A455E4A"/>
    <w:rsid w:val="6A79436D"/>
    <w:rsid w:val="6B3A5BD0"/>
    <w:rsid w:val="6B3C7023"/>
    <w:rsid w:val="6B610D05"/>
    <w:rsid w:val="6BAC21D5"/>
    <w:rsid w:val="6C1D42E9"/>
    <w:rsid w:val="6C3E5296"/>
    <w:rsid w:val="6C952DF1"/>
    <w:rsid w:val="6CED1CB3"/>
    <w:rsid w:val="6D201CAE"/>
    <w:rsid w:val="6D3B42C3"/>
    <w:rsid w:val="6DDE0D10"/>
    <w:rsid w:val="6E082488"/>
    <w:rsid w:val="6E201147"/>
    <w:rsid w:val="6E5969DC"/>
    <w:rsid w:val="6E7B6A0F"/>
    <w:rsid w:val="6E7E575F"/>
    <w:rsid w:val="6EF15941"/>
    <w:rsid w:val="6F9921A1"/>
    <w:rsid w:val="6FB83EF3"/>
    <w:rsid w:val="717F4370"/>
    <w:rsid w:val="73407EBD"/>
    <w:rsid w:val="73EF4563"/>
    <w:rsid w:val="74175679"/>
    <w:rsid w:val="742F0C48"/>
    <w:rsid w:val="744124AA"/>
    <w:rsid w:val="74664F47"/>
    <w:rsid w:val="7468660B"/>
    <w:rsid w:val="75032B80"/>
    <w:rsid w:val="77DC27D8"/>
    <w:rsid w:val="77E0572E"/>
    <w:rsid w:val="77ED4104"/>
    <w:rsid w:val="789508C5"/>
    <w:rsid w:val="78EF4372"/>
    <w:rsid w:val="79771B00"/>
    <w:rsid w:val="7980282D"/>
    <w:rsid w:val="798F6426"/>
    <w:rsid w:val="79E60E88"/>
    <w:rsid w:val="7A450BCE"/>
    <w:rsid w:val="7A5520F1"/>
    <w:rsid w:val="7ACA272A"/>
    <w:rsid w:val="7B0E7C70"/>
    <w:rsid w:val="7B2F5D22"/>
    <w:rsid w:val="7C8B1B8E"/>
    <w:rsid w:val="7CBE6536"/>
    <w:rsid w:val="7D4A0F3E"/>
    <w:rsid w:val="7E6F339A"/>
    <w:rsid w:val="7E810662"/>
    <w:rsid w:val="7F590AE3"/>
    <w:rsid w:val="7FC44D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4"/>
      <w:szCs w:val="24"/>
      <w:lang w:val="en-US" w:eastAsia="zh-CN" w:bidi="ar-SA"/>
    </w:rPr>
  </w:style>
  <w:style w:type="paragraph" w:styleId="2">
    <w:name w:val="heading 1"/>
    <w:basedOn w:val="1"/>
    <w:next w:val="1"/>
    <w:link w:val="19"/>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paragraph" w:styleId="3">
    <w:name w:val="heading 2"/>
    <w:basedOn w:val="1"/>
    <w:next w:val="1"/>
    <w:link w:val="21"/>
    <w:unhideWhenUsed/>
    <w:qFormat/>
    <w:uiPriority w:val="0"/>
    <w:pPr>
      <w:keepNext/>
      <w:keepLines/>
      <w:spacing w:before="20" w:beforeLines="0" w:beforeAutospacing="0" w:after="20" w:afterLines="0" w:afterAutospacing="0" w:line="240" w:lineRule="auto"/>
      <w:outlineLvl w:val="1"/>
    </w:pPr>
    <w:rPr>
      <w:rFonts w:ascii="Arial" w:hAnsi="Arial" w:eastAsia="宋体"/>
      <w:b/>
      <w:sz w:val="24"/>
    </w:rPr>
  </w:style>
  <w:style w:type="paragraph" w:styleId="4">
    <w:name w:val="heading 3"/>
    <w:basedOn w:val="1"/>
    <w:next w:val="1"/>
    <w:link w:val="23"/>
    <w:unhideWhenUsed/>
    <w:qFormat/>
    <w:uiPriority w:val="0"/>
    <w:pPr>
      <w:keepNext/>
      <w:keepLines/>
      <w:spacing w:before="20" w:beforeLines="0" w:beforeAutospacing="0" w:after="20" w:afterLines="0" w:afterAutospacing="0" w:line="360" w:lineRule="auto"/>
      <w:outlineLvl w:val="2"/>
    </w:pPr>
    <w:rPr>
      <w:rFonts w:hAnsi="Calibri" w:eastAsia="宋体"/>
      <w:b/>
      <w:sz w:val="24"/>
    </w:rPr>
  </w:style>
  <w:style w:type="character" w:default="1" w:styleId="13">
    <w:name w:val="Default Paragraph Font"/>
    <w:semiHidden/>
    <w:qFormat/>
    <w:uiPriority w:val="0"/>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5">
    <w:name w:val="annotation text"/>
    <w:basedOn w:val="1"/>
    <w:link w:val="24"/>
    <w:qFormat/>
    <w:uiPriority w:val="0"/>
    <w:pPr>
      <w:jc w:val="left"/>
    </w:pPr>
  </w:style>
  <w:style w:type="paragraph" w:styleId="6">
    <w:name w:val="Balloon Text"/>
    <w:basedOn w:val="1"/>
    <w:link w:val="20"/>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annotation subject"/>
    <w:basedOn w:val="5"/>
    <w:next w:val="5"/>
    <w:link w:val="22"/>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paragraph" w:customStyle="1" w:styleId="16">
    <w:name w:val="样式1"/>
    <w:basedOn w:val="1"/>
    <w:next w:val="1"/>
    <w:qFormat/>
    <w:uiPriority w:val="0"/>
    <w:pPr>
      <w:keepNext/>
      <w:keepLines/>
      <w:spacing w:before="340" w:beforeLines="0" w:after="330" w:afterLines="0" w:line="576" w:lineRule="auto"/>
      <w:outlineLvl w:val="0"/>
    </w:pPr>
    <w:rPr>
      <w:rFonts w:hint="eastAsia"/>
      <w:b/>
      <w:kern w:val="44"/>
      <w:sz w:val="44"/>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List Paragraph"/>
    <w:basedOn w:val="1"/>
    <w:unhideWhenUsed/>
    <w:qFormat/>
    <w:uiPriority w:val="99"/>
    <w:pPr>
      <w:ind w:firstLine="420" w:firstLineChars="200"/>
    </w:pPr>
  </w:style>
  <w:style w:type="character" w:customStyle="1" w:styleId="19">
    <w:name w:val="标题 1 Char"/>
    <w:link w:val="2"/>
    <w:qFormat/>
    <w:uiPriority w:val="0"/>
    <w:rPr>
      <w:rFonts w:eastAsia="宋体"/>
      <w:b/>
      <w:kern w:val="44"/>
      <w:sz w:val="44"/>
    </w:rPr>
  </w:style>
  <w:style w:type="character" w:customStyle="1" w:styleId="20">
    <w:name w:val="批注框文本 Char"/>
    <w:link w:val="6"/>
    <w:qFormat/>
    <w:uiPriority w:val="0"/>
    <w:rPr>
      <w:rFonts w:ascii="Calibri" w:hAnsi="Calibri" w:cs="黑体"/>
      <w:kern w:val="2"/>
      <w:sz w:val="18"/>
      <w:szCs w:val="18"/>
    </w:rPr>
  </w:style>
  <w:style w:type="character" w:customStyle="1" w:styleId="21">
    <w:name w:val="标题 2 Char"/>
    <w:link w:val="3"/>
    <w:qFormat/>
    <w:uiPriority w:val="0"/>
    <w:rPr>
      <w:rFonts w:ascii="Arial" w:hAnsi="Arial" w:eastAsia="宋体"/>
      <w:b/>
      <w:sz w:val="24"/>
    </w:rPr>
  </w:style>
  <w:style w:type="character" w:customStyle="1" w:styleId="22">
    <w:name w:val="批注主题 Char"/>
    <w:link w:val="10"/>
    <w:qFormat/>
    <w:uiPriority w:val="0"/>
    <w:rPr>
      <w:rFonts w:ascii="Calibri" w:hAnsi="Calibri" w:cs="黑体"/>
      <w:b/>
      <w:bCs/>
      <w:kern w:val="2"/>
      <w:sz w:val="21"/>
      <w:szCs w:val="24"/>
    </w:rPr>
  </w:style>
  <w:style w:type="character" w:customStyle="1" w:styleId="23">
    <w:name w:val="标题 3 Char"/>
    <w:link w:val="4"/>
    <w:qFormat/>
    <w:uiPriority w:val="0"/>
    <w:rPr>
      <w:rFonts w:hAnsi="Calibri" w:eastAsia="宋体"/>
      <w:b/>
      <w:sz w:val="24"/>
    </w:rPr>
  </w:style>
  <w:style w:type="character" w:customStyle="1" w:styleId="24">
    <w:name w:val="批注文字 Char"/>
    <w:link w:val="5"/>
    <w:qFormat/>
    <w:uiPriority w:val="0"/>
    <w:rPr>
      <w:rFonts w:ascii="Calibri" w:hAnsi="Calibri" w:cs="黑体"/>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56</Pages>
  <Words>35660</Words>
  <Characters>37328</Characters>
  <Lines>210</Lines>
  <Paragraphs>59</Paragraphs>
  <TotalTime>1</TotalTime>
  <ScaleCrop>false</ScaleCrop>
  <LinksUpToDate>false</LinksUpToDate>
  <CharactersWithSpaces>37567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hccb</cp:lastModifiedBy>
  <dcterms:modified xsi:type="dcterms:W3CDTF">2025-05-16T09:01:36Z</dcterms:modified>
  <dc:title>杭银理财幸福99XXXX理财计划合同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06A49D61929F4201B4ADB8DA4C945300</vt:lpwstr>
  </property>
</Properties>
</file>