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Style w:val="10"/>
          <w:rFonts w:hint="eastAsia" w:ascii="黑体" w:hAnsi="黑体" w:eastAsia="黑体"/>
          <w:sz w:val="44"/>
          <w:szCs w:val="44"/>
        </w:rPr>
        <w:t>稳利安盈封闭式</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8"/>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993"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兴银理财有限责任公司理财产品投资协议书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稳利安盈封闭式2023年</w:t>
            </w:r>
            <w:r>
              <w:rPr>
                <w:rFonts w:ascii="宋体" w:hAnsi="宋体"/>
                <w:kern w:val="0"/>
                <w:sz w:val="20"/>
                <w:szCs w:val="21"/>
              </w:rPr>
              <w:t>216</w:t>
            </w:r>
            <w:r>
              <w:rPr>
                <w:rFonts w:hint="eastAsia" w:ascii="宋体" w:hAnsi="宋体"/>
                <w:kern w:val="0"/>
                <w:sz w:val="20"/>
                <w:szCs w:val="21"/>
              </w:rPr>
              <w:t>期固收类</w:t>
            </w:r>
            <w:permEnd w:id="1"/>
            <w:r>
              <w:rPr>
                <w:rFonts w:hint="eastAsia" w:ascii="宋体" w:hAnsi="宋体"/>
                <w:kern w:val="0"/>
                <w:sz w:val="20"/>
                <w:szCs w:val="21"/>
              </w:rPr>
              <w:t>理财产品产品说明书</w:t>
            </w:r>
          </w:p>
        </w:tc>
        <w:tc>
          <w:tcPr>
            <w:tcW w:w="1984" w:type="dxa"/>
          </w:tcPr>
          <w:p>
            <w:pPr>
              <w:pStyle w:val="12"/>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2" w:edGrp="everyone"/>
            <w:r>
              <w:rPr>
                <w:rFonts w:hint="eastAsia" w:ascii="宋体" w:hAnsi="宋体"/>
                <w:kern w:val="0"/>
                <w:sz w:val="20"/>
                <w:szCs w:val="21"/>
              </w:rPr>
              <w:t>有限责任公司</w:t>
            </w:r>
            <w:permEnd w:id="2"/>
            <w:r>
              <w:rPr>
                <w:rFonts w:hint="eastAsia" w:ascii="宋体" w:hAnsi="宋体"/>
                <w:kern w:val="0"/>
                <w:sz w:val="20"/>
                <w:szCs w:val="21"/>
              </w:rPr>
              <w:t>理财产品（代理）销售协议书</w:t>
            </w:r>
          </w:p>
        </w:tc>
        <w:tc>
          <w:tcPr>
            <w:tcW w:w="1984"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3" w:edGrp="everyone"/>
            <w:r>
              <w:rPr>
                <w:rFonts w:hint="eastAsia" w:ascii="宋体" w:hAnsi="宋体"/>
                <w:kern w:val="0"/>
                <w:sz w:val="20"/>
                <w:szCs w:val="21"/>
              </w:rPr>
              <w:t>稳利安盈封闭式2023年</w:t>
            </w:r>
            <w:r>
              <w:rPr>
                <w:rFonts w:ascii="宋体" w:hAnsi="宋体"/>
                <w:kern w:val="0"/>
                <w:sz w:val="20"/>
                <w:szCs w:val="21"/>
              </w:rPr>
              <w:t>216</w:t>
            </w:r>
            <w:r>
              <w:rPr>
                <w:rFonts w:hint="eastAsia" w:ascii="宋体" w:hAnsi="宋体"/>
                <w:kern w:val="0"/>
                <w:sz w:val="20"/>
                <w:szCs w:val="21"/>
              </w:rPr>
              <w:t>期固收类</w:t>
            </w:r>
            <w:permEnd w:id="3"/>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4" w:edGrp="everyone"/>
            <w:r>
              <w:rPr>
                <w:rFonts w:hint="eastAsia" w:ascii="宋体" w:hAnsi="宋体"/>
                <w:kern w:val="0"/>
                <w:sz w:val="20"/>
                <w:szCs w:val="21"/>
              </w:rPr>
              <w:t>有限责任公司</w:t>
            </w:r>
            <w:permEnd w:id="4"/>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2"/>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12"/>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兴银理财</w:t>
      </w:r>
      <w:permStart w:id="5" w:edGrp="everyone"/>
      <w:r>
        <w:rPr>
          <w:rStyle w:val="10"/>
          <w:rFonts w:hint="eastAsia" w:ascii="黑体" w:hAnsi="黑体" w:eastAsia="黑体" w:cs="宋体"/>
          <w:sz w:val="44"/>
          <w:szCs w:val="44"/>
        </w:rPr>
        <w:t>稳利安盈封闭式</w:t>
      </w:r>
      <w:permEnd w:id="5"/>
      <w:r>
        <w:rPr>
          <w:rStyle w:val="10"/>
          <w:rFonts w:hint="eastAsia" w:ascii="黑体" w:hAnsi="黑体" w:eastAsia="黑体" w:cs="宋体"/>
          <w:sz w:val="44"/>
          <w:szCs w:val="44"/>
        </w:rPr>
        <w:t>理财产品</w:t>
      </w: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6" w:edGrp="everyone"/>
      <w:r>
        <w:rPr>
          <w:rFonts w:hint="eastAsia" w:ascii="黑体" w:hAnsi="黑体" w:eastAsia="黑体"/>
          <w:b/>
          <w:sz w:val="28"/>
          <w:szCs w:val="28"/>
        </w:rPr>
        <w:t>【</w:t>
      </w:r>
      <w:r>
        <w:rPr>
          <w:rFonts w:ascii="黑体" w:hAnsi="黑体" w:eastAsia="黑体"/>
          <w:b/>
          <w:sz w:val="28"/>
          <w:szCs w:val="28"/>
        </w:rPr>
        <w:t xml:space="preserve">                 </w:t>
      </w:r>
      <w:r>
        <w:rPr>
          <w:rFonts w:hint="eastAsia" w:ascii="黑体" w:hAnsi="黑体" w:eastAsia="黑体"/>
          <w:b/>
          <w:sz w:val="28"/>
          <w:szCs w:val="28"/>
        </w:rPr>
        <w:t>】</w:t>
      </w:r>
      <w:permEnd w:id="6"/>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0"/>
          <w:rFonts w:ascii="宋体" w:hAnsi="宋体"/>
          <w:sz w:val="28"/>
          <w:szCs w:val="28"/>
        </w:rPr>
      </w:pPr>
      <w:bookmarkStart w:id="0" w:name="_Toc123112224"/>
      <w:bookmarkStart w:id="1" w:name="_Toc139992301"/>
      <w:bookmarkStart w:id="2" w:name="_Toc123112263"/>
      <w:bookmarkStart w:id="3" w:name="_Toc123701383"/>
      <w:bookmarkStart w:id="4" w:name="_Toc139991726"/>
      <w:r>
        <w:rPr>
          <w:rStyle w:val="10"/>
          <w:rFonts w:hint="eastAsia" w:ascii="宋体" w:hAnsi="宋体"/>
          <w:sz w:val="28"/>
          <w:szCs w:val="28"/>
        </w:rPr>
        <w:t>理财产品管理人：</w:t>
      </w:r>
      <w:bookmarkEnd w:id="0"/>
      <w:bookmarkEnd w:id="1"/>
      <w:bookmarkEnd w:id="2"/>
      <w:bookmarkEnd w:id="3"/>
      <w:bookmarkEnd w:id="4"/>
      <w:r>
        <w:rPr>
          <w:rStyle w:val="10"/>
          <w:rFonts w:hint="eastAsia" w:ascii="宋体" w:hAnsi="宋体"/>
          <w:sz w:val="28"/>
          <w:szCs w:val="28"/>
        </w:rPr>
        <w:t>兴银理财有限责任公司</w:t>
      </w:r>
    </w:p>
    <w:p>
      <w:pPr>
        <w:adjustRightInd w:val="0"/>
        <w:spacing w:line="360" w:lineRule="auto"/>
        <w:jc w:val="center"/>
        <w:rPr>
          <w:rStyle w:val="10"/>
          <w:rFonts w:ascii="黑体" w:hAnsi="黑体" w:eastAsia="黑体" w:cs="宋体"/>
          <w:sz w:val="28"/>
          <w:szCs w:val="28"/>
        </w:rPr>
      </w:pPr>
      <w:bookmarkStart w:id="5" w:name="_Toc123701384"/>
      <w:bookmarkStart w:id="6" w:name="_Toc139991727"/>
      <w:bookmarkStart w:id="7" w:name="_Toc123112225"/>
      <w:bookmarkStart w:id="8" w:name="_Toc123112264"/>
      <w:bookmarkStart w:id="9" w:name="_Toc139992302"/>
    </w:p>
    <w:bookmarkEnd w:id="5"/>
    <w:bookmarkEnd w:id="6"/>
    <w:bookmarkEnd w:id="7"/>
    <w:bookmarkEnd w:id="8"/>
    <w:bookmarkEnd w:id="9"/>
    <w:p>
      <w:pPr>
        <w:adjustRightInd w:val="0"/>
        <w:spacing w:line="360" w:lineRule="auto"/>
        <w:jc w:val="center"/>
        <w:rPr>
          <w:rStyle w:val="10"/>
          <w:rFonts w:ascii="黑体" w:hAnsi="黑体" w:eastAsia="黑体" w:cs="宋体"/>
          <w:sz w:val="28"/>
          <w:szCs w:val="28"/>
        </w:rPr>
      </w:pPr>
    </w:p>
    <w:p>
      <w:pPr>
        <w:adjustRightInd w:val="0"/>
        <w:spacing w:line="360" w:lineRule="auto"/>
        <w:jc w:val="center"/>
        <w:rPr>
          <w:rStyle w:val="10"/>
          <w:rFonts w:ascii="宋体" w:hAnsi="宋体"/>
          <w:sz w:val="28"/>
          <w:szCs w:val="28"/>
        </w:rPr>
      </w:pPr>
      <w:r>
        <w:rPr>
          <w:rStyle w:val="10"/>
          <w:rFonts w:hint="eastAsia" w:ascii="宋体" w:hAnsi="宋体"/>
          <w:sz w:val="28"/>
          <w:szCs w:val="28"/>
        </w:rPr>
        <w:t>日期</w:t>
      </w:r>
      <w:r>
        <w:rPr>
          <w:rStyle w:val="10"/>
          <w:rFonts w:ascii="宋体" w:hAnsi="宋体"/>
          <w:sz w:val="28"/>
          <w:szCs w:val="28"/>
        </w:rPr>
        <w:t>：</w:t>
      </w:r>
      <w:permStart w:id="7" w:edGrp="everyone"/>
      <w:r>
        <w:rPr>
          <w:rStyle w:val="10"/>
          <w:rFonts w:hint="eastAsia" w:ascii="宋体" w:hAnsi="宋体"/>
          <w:sz w:val="28"/>
          <w:szCs w:val="28"/>
        </w:rPr>
        <w:t>【</w:t>
      </w:r>
      <w:r>
        <w:rPr>
          <w:rStyle w:val="10"/>
          <w:rFonts w:ascii="宋体" w:hAnsi="宋体"/>
          <w:sz w:val="28"/>
          <w:szCs w:val="28"/>
        </w:rPr>
        <w:t>2023</w:t>
      </w:r>
      <w:r>
        <w:rPr>
          <w:rStyle w:val="10"/>
          <w:rFonts w:hint="eastAsia" w:ascii="宋体" w:hAnsi="宋体"/>
          <w:sz w:val="28"/>
          <w:szCs w:val="28"/>
        </w:rPr>
        <w:t>】年【</w:t>
      </w:r>
      <w:r>
        <w:rPr>
          <w:rStyle w:val="10"/>
          <w:rFonts w:ascii="宋体" w:hAnsi="宋体"/>
          <w:sz w:val="28"/>
          <w:szCs w:val="28"/>
        </w:rPr>
        <w:t>11</w:t>
      </w:r>
      <w:r>
        <w:rPr>
          <w:rStyle w:val="10"/>
          <w:rFonts w:hint="eastAsia" w:ascii="宋体" w:hAnsi="宋体"/>
          <w:sz w:val="28"/>
          <w:szCs w:val="28"/>
        </w:rPr>
        <w:t>】月</w:t>
      </w:r>
      <w:permEnd w:id="7"/>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8"/>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6"/>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701386"/>
      <w:bookmarkStart w:id="12" w:name="_Toc123112227"/>
      <w:bookmarkStart w:id="13" w:name="_Toc123112266"/>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7"/>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8"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9" w:edGrp="everyone" w:colFirst="3" w:colLast="3"/>
            <w:permStart w:id="10"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9"/>
      <w:permEnd w:id="1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1" w:edGrp="everyone" w:colFirst="3" w:colLast="3"/>
            <w:permStart w:id="12" w:edGrp="everyone" w:colFirst="5" w:colLast="5"/>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1"/>
      <w:permEnd w:id="1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3"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ermStart w:id="17"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6"/>
      <w:permEnd w:id="17"/>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8"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ermStart w:id="20"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9"/>
      <w:permEnd w:id="2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1"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4"/>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4"/>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4"/>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3" w:edGrp="everyone"/>
            <w:r>
              <w:rPr>
                <w:rFonts w:ascii="宋体" w:hAnsi="宋体"/>
                <w:szCs w:val="18"/>
                <w:u w:val="single"/>
              </w:rPr>
              <w:t xml:space="preserve">　                     </w:t>
            </w:r>
            <w:permEnd w:id="23"/>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64"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3"/>
            <w:spacing w:line="360" w:lineRule="auto"/>
            <w:jc w:val="center"/>
          </w:pPr>
          <w:r>
            <w:rPr>
              <w:lang w:val="zh-CN"/>
            </w:rPr>
            <w:t>目录</w:t>
          </w:r>
        </w:p>
        <w:p>
          <w:pPr>
            <w:pStyle w:val="5"/>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"_Toc111714032" </w:instrText>
          </w:r>
          <w:r>
            <w:fldChar w:fldCharType="separate"/>
          </w:r>
          <w:r>
            <w:rPr>
              <w:rStyle w:val="11"/>
              <w:rFonts w:hint="eastAsia"/>
            </w:rPr>
            <w:t>第一条</w:t>
          </w:r>
          <w:r>
            <w:rPr>
              <w:rStyle w:val="11"/>
            </w:rPr>
            <w:t xml:space="preserve">  </w:t>
          </w:r>
          <w:r>
            <w:rPr>
              <w:rStyle w:val="11"/>
              <w:rFonts w:hint="eastAsia"/>
            </w:rPr>
            <w:t>前言</w:t>
          </w:r>
          <w:r>
            <w:tab/>
          </w:r>
          <w:r>
            <w:fldChar w:fldCharType="begin"/>
          </w:r>
          <w:r>
            <w:instrText xml:space="preserve"> PAGEREF _Toc111714032 \h </w:instrText>
          </w:r>
          <w:r>
            <w:fldChar w:fldCharType="separate"/>
          </w:r>
          <w:r>
            <w:t>1</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"_Toc111714033" </w:instrText>
          </w:r>
          <w:r>
            <w:fldChar w:fldCharType="separate"/>
          </w:r>
          <w:r>
            <w:rPr>
              <w:rStyle w:val="11"/>
              <w:rFonts w:hint="eastAsia"/>
            </w:rPr>
            <w:t>第二条</w:t>
          </w:r>
          <w:r>
            <w:rPr>
              <w:rStyle w:val="11"/>
            </w:rPr>
            <w:t xml:space="preserve">  </w:t>
          </w:r>
          <w:r>
            <w:rPr>
              <w:rStyle w:val="11"/>
              <w:rFonts w:hint="eastAsia"/>
            </w:rPr>
            <w:t>双方权利义务</w:t>
          </w:r>
          <w:r>
            <w:tab/>
          </w:r>
          <w:r>
            <w:fldChar w:fldCharType="begin"/>
          </w:r>
          <w:r>
            <w:instrText xml:space="preserve"> PAGEREF _Toc111714033 \h </w:instrText>
          </w:r>
          <w:r>
            <w:fldChar w:fldCharType="separate"/>
          </w:r>
          <w:r>
            <w:t>2</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"_Toc111714034" </w:instrText>
          </w:r>
          <w:r>
            <w:fldChar w:fldCharType="separate"/>
          </w:r>
          <w:r>
            <w:rPr>
              <w:rStyle w:val="11"/>
              <w:rFonts w:hint="eastAsia"/>
            </w:rPr>
            <w:t>第三条</w:t>
          </w:r>
          <w:r>
            <w:rPr>
              <w:rStyle w:val="11"/>
            </w:rPr>
            <w:t xml:space="preserve">  </w:t>
          </w:r>
          <w:r>
            <w:rPr>
              <w:rStyle w:val="11"/>
              <w:rFonts w:hint="eastAsia"/>
            </w:rPr>
            <w:t>不可抗力</w:t>
          </w:r>
          <w:r>
            <w:tab/>
          </w:r>
          <w:r>
            <w:fldChar w:fldCharType="begin"/>
          </w:r>
          <w:r>
            <w:instrText xml:space="preserve"> PAGEREF _Toc111714034 \h </w:instrText>
          </w:r>
          <w:r>
            <w:fldChar w:fldCharType="separate"/>
          </w:r>
          <w:r>
            <w:t>5</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"_Toc111714035" </w:instrText>
          </w:r>
          <w:r>
            <w:fldChar w:fldCharType="separate"/>
          </w:r>
          <w:r>
            <w:rPr>
              <w:rStyle w:val="11"/>
              <w:rFonts w:hint="eastAsia"/>
            </w:rPr>
            <w:t>第四条</w:t>
          </w:r>
          <w:r>
            <w:rPr>
              <w:rStyle w:val="11"/>
            </w:rPr>
            <w:t xml:space="preserve">  </w:t>
          </w:r>
          <w:r>
            <w:rPr>
              <w:rStyle w:val="11"/>
              <w:rFonts w:hint="eastAsia"/>
            </w:rPr>
            <w:t>违约责任</w:t>
          </w:r>
          <w:r>
            <w:tab/>
          </w:r>
          <w:r>
            <w:fldChar w:fldCharType="begin"/>
          </w:r>
          <w:r>
            <w:instrText xml:space="preserve"> PAGEREF _Toc111714035 \h </w:instrText>
          </w:r>
          <w:r>
            <w:fldChar w:fldCharType="separate"/>
          </w:r>
          <w:r>
            <w:t>6</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"_Toc111714036" </w:instrText>
          </w:r>
          <w:r>
            <w:fldChar w:fldCharType="separate"/>
          </w:r>
          <w:r>
            <w:rPr>
              <w:rStyle w:val="11"/>
              <w:rFonts w:hint="eastAsia"/>
            </w:rPr>
            <w:t>第五条</w:t>
          </w:r>
          <w:r>
            <w:rPr>
              <w:rStyle w:val="11"/>
            </w:rPr>
            <w:t xml:space="preserve">  </w:t>
          </w:r>
          <w:r>
            <w:rPr>
              <w:rStyle w:val="11"/>
              <w:rFonts w:hint="eastAsia"/>
            </w:rPr>
            <w:t>法律适用和争议解决</w:t>
          </w:r>
          <w:r>
            <w:tab/>
          </w:r>
          <w:r>
            <w:fldChar w:fldCharType="begin"/>
          </w:r>
          <w:r>
            <w:instrText xml:space="preserve"> PAGEREF _Toc111714036 \h </w:instrText>
          </w:r>
          <w:r>
            <w:fldChar w:fldCharType="separate"/>
          </w:r>
          <w:r>
            <w:t>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"_Toc111714037" </w:instrText>
          </w:r>
          <w:r>
            <w:fldChar w:fldCharType="separate"/>
          </w:r>
          <w:r>
            <w:rPr>
              <w:rStyle w:val="11"/>
              <w:rFonts w:hint="eastAsia"/>
            </w:rPr>
            <w:t>第六条</w:t>
          </w:r>
          <w:r>
            <w:rPr>
              <w:rStyle w:val="11"/>
            </w:rPr>
            <w:t xml:space="preserve">  </w:t>
          </w:r>
          <w:r>
            <w:rPr>
              <w:rStyle w:val="11"/>
              <w:rFonts w:hint="eastAsia"/>
            </w:rPr>
            <w:t>协议的签署和效力</w:t>
          </w:r>
          <w:r>
            <w:tab/>
          </w:r>
          <w:r>
            <w:fldChar w:fldCharType="begin"/>
          </w:r>
          <w:r>
            <w:instrText xml:space="preserve"> PAGEREF _Toc111714037 \h </w:instrText>
          </w:r>
          <w:r>
            <w:fldChar w:fldCharType="separate"/>
          </w:r>
          <w:r>
            <w:t>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"_Toc111714038" </w:instrText>
          </w:r>
          <w:r>
            <w:fldChar w:fldCharType="separate"/>
          </w:r>
          <w:r>
            <w:rPr>
              <w:rStyle w:val="11"/>
              <w:rFonts w:hint="eastAsia"/>
            </w:rPr>
            <w:t>第七条</w:t>
          </w:r>
          <w:r>
            <w:rPr>
              <w:rStyle w:val="11"/>
            </w:rPr>
            <w:t xml:space="preserve">  </w:t>
          </w:r>
          <w:r>
            <w:rPr>
              <w:rStyle w:val="11"/>
              <w:rFonts w:hint="eastAsia"/>
            </w:rPr>
            <w:t>消费者权益保护</w:t>
          </w:r>
          <w:r>
            <w:tab/>
          </w:r>
          <w:r>
            <w:fldChar w:fldCharType="begin"/>
          </w:r>
          <w:r>
            <w:instrText xml:space="preserve"> PAGEREF _Toc111714038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4966"/>
      <w:bookmarkStart w:id="15" w:name="_Toc139991730"/>
      <w:bookmarkStart w:id="16" w:name="_Toc26897"/>
      <w:bookmarkStart w:id="17" w:name="_Toc123701389"/>
      <w:bookmarkStart w:id="18" w:name="_Toc23386"/>
      <w:bookmarkStart w:id="19" w:name="_Toc8727"/>
      <w:bookmarkStart w:id="20" w:name="_Toc29629"/>
      <w:bookmarkStart w:id="21" w:name="_Toc141703880"/>
      <w:bookmarkStart w:id="22" w:name="_Toc6306"/>
      <w:bookmarkStart w:id="23" w:name="_Toc123112229"/>
      <w:bookmarkStart w:id="24" w:name="_Toc123112268"/>
      <w:bookmarkStart w:id="25" w:name="_Toc4867"/>
      <w:bookmarkStart w:id="26" w:name="_Toc15517"/>
      <w:bookmarkStart w:id="27" w:name="_Toc32639"/>
      <w:bookmarkStart w:id="28" w:name="_Toc30935"/>
      <w:bookmarkStart w:id="29" w:name="_Toc11171403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4860"/>
      <w:bookmarkStart w:id="33" w:name="_Toc819"/>
      <w:bookmarkStart w:id="34" w:name="_Toc21301"/>
      <w:bookmarkStart w:id="35" w:name="_Toc15067"/>
      <w:bookmarkStart w:id="36" w:name="_Toc6617"/>
      <w:bookmarkStart w:id="37" w:name="_Toc258829399"/>
      <w:bookmarkStart w:id="38" w:name="_Toc3224"/>
      <w:bookmarkStart w:id="39" w:name="_Toc22864"/>
      <w:bookmarkStart w:id="40" w:name="_Toc19592"/>
      <w:bookmarkStart w:id="41" w:name="_Toc2465"/>
      <w:bookmarkStart w:id="42" w:name="_Toc13020"/>
      <w:r>
        <w:rPr>
          <w:rFonts w:hint="eastAsia" w:ascii="Times New Roman"/>
          <w:color w:val="auto"/>
          <w:sz w:val="30"/>
        </w:rPr>
        <w:t>前言</w:t>
      </w:r>
      <w:bookmarkEnd w:id="29"/>
    </w:p>
    <w:p>
      <w:pPr>
        <w:pStyle w:val="14"/>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14"/>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11714033"/>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111714034"/>
      <w:bookmarkStart w:id="47" w:name="_Toc20627"/>
      <w:bookmarkStart w:id="48" w:name="_Toc6683"/>
      <w:bookmarkStart w:id="49" w:name="_Toc18631"/>
      <w:bookmarkStart w:id="50" w:name="_Toc74065740"/>
      <w:bookmarkStart w:id="51" w:name="_Toc733"/>
      <w:bookmarkStart w:id="52" w:name="_Toc24571"/>
      <w:bookmarkStart w:id="53" w:name="_Toc13288"/>
      <w:bookmarkStart w:id="54" w:name="_Toc22708"/>
      <w:bookmarkStart w:id="55" w:name="_Toc6149"/>
      <w:bookmarkStart w:id="56" w:name="_Toc20318"/>
      <w:bookmarkStart w:id="57" w:name="_Toc545"/>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11171403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111714036"/>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r>
        <w:rPr>
          <w:color w:val="000000" w:themeColor="text1"/>
          <w:sz w:val="18"/>
          <w:szCs w:val="18"/>
          <w14:textFill>
            <w14:solidFill>
              <w14:schemeClr w14:val="tx1"/>
            </w14:solidFill>
          </w14:textFill>
        </w:rPr>
        <w:t>法律适用</w:t>
      </w:r>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双方在本协议书的执行过程中发生的任何争议，应通过友好协商解决。</w:t>
      </w:r>
      <w:r>
        <w:rPr>
          <w:rFonts w:hint="eastAsia" w:ascii="黑体" w:hAnsi="黑体" w:eastAsia="黑体"/>
          <w:color w:val="000000" w:themeColor="text1"/>
          <w:sz w:val="18"/>
          <w:szCs w:val="18"/>
          <w14:textFill>
            <w14:solidFill>
              <w14:schemeClr w14:val="tx1"/>
            </w14:solidFill>
          </w14:textFill>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1714037"/>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111714038"/>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4" w:edGrp="everyone"/>
            <w:r>
              <w:rPr>
                <w:rFonts w:hint="eastAsia" w:ascii="宋体" w:hAnsi="宋体" w:cs="宋体"/>
                <w:b/>
                <w:sz w:val="18"/>
                <w:szCs w:val="18"/>
              </w:rPr>
              <w:t>【】</w:t>
            </w:r>
            <w:permEnd w:id="24"/>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permStart w:id="25" w:edGrp="everyone"/>
            <w:r>
              <w:rPr>
                <w:rFonts w:hint="eastAsia" w:ascii="宋体" w:hAnsi="宋体" w:cs="宋体"/>
                <w:b/>
                <w:sz w:val="18"/>
                <w:szCs w:val="18"/>
              </w:rPr>
              <w:t>【】类</w:t>
            </w:r>
            <w:r>
              <w:rPr>
                <w:rFonts w:ascii="宋体" w:hAnsi="宋体" w:cs="宋体"/>
                <w:b/>
                <w:sz w:val="18"/>
                <w:szCs w:val="18"/>
              </w:rPr>
              <w:t>份额</w:t>
            </w:r>
            <w:permEnd w:id="25"/>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permStart w:id="26" w:edGrp="everyone"/>
            <w:r>
              <w:rPr>
                <w:rFonts w:ascii="宋体" w:hAnsi="宋体"/>
                <w:b/>
                <w:bCs/>
                <w:sz w:val="18"/>
                <w:szCs w:val="18"/>
                <w:u w:val="single"/>
              </w:rPr>
              <w:t xml:space="preserve">　        </w:t>
            </w:r>
            <w:r>
              <w:rPr>
                <w:rFonts w:hint="eastAsia" w:ascii="宋体" w:hAnsi="宋体"/>
                <w:b/>
                <w:bCs/>
                <w:sz w:val="18"/>
                <w:szCs w:val="18"/>
                <w:u w:val="single"/>
              </w:rPr>
              <w:t xml:space="preserve">  </w:t>
            </w:r>
            <w:permEnd w:id="26"/>
            <w:r>
              <w:rPr>
                <w:rFonts w:ascii="宋体" w:hAnsi="宋体"/>
                <w:b/>
                <w:bCs/>
                <w:sz w:val="18"/>
                <w:szCs w:val="18"/>
              </w:rPr>
              <w:t>，大写：</w:t>
            </w:r>
            <w:permStart w:id="27" w:edGrp="everyone"/>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permEnd w:id="27"/>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permStart w:id="28" w:edGrp="everyone"/>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ermEnd w:id="28"/>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兴银理财【稳利安盈封闭式】理财产品</w:t>
      </w: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产品说明书</w:t>
      </w:r>
    </w:p>
    <w:p>
      <w:pPr>
        <w:adjustRightInd w:val="0"/>
        <w:spacing w:line="360" w:lineRule="auto"/>
        <w:jc w:val="center"/>
        <w:rPr>
          <w:rStyle w:val="10"/>
          <w:rFonts w:ascii="宋体" w:hAnsi="宋体"/>
          <w:sz w:val="32"/>
          <w:szCs w:val="32"/>
        </w:rPr>
      </w:pPr>
    </w:p>
    <w:p>
      <w:pPr>
        <w:adjustRightInd w:val="0"/>
        <w:spacing w:line="360" w:lineRule="auto"/>
        <w:rPr>
          <w:rStyle w:val="10"/>
          <w:rFonts w:ascii="黑体" w:hAnsi="黑体" w:eastAsia="黑体"/>
          <w:bCs w:val="0"/>
          <w:sz w:val="28"/>
          <w:szCs w:val="28"/>
        </w:rPr>
      </w:pPr>
    </w:p>
    <w:p>
      <w:pPr>
        <w:adjustRightInd w:val="0"/>
        <w:spacing w:line="360" w:lineRule="auto"/>
        <w:jc w:val="center"/>
        <w:rPr>
          <w:rStyle w:val="10"/>
          <w:rFonts w:ascii="黑体" w:hAnsi="黑体" w:eastAsia="黑体"/>
          <w:bCs w:val="0"/>
          <w:sz w:val="28"/>
          <w:szCs w:val="28"/>
        </w:rPr>
      </w:pPr>
    </w:p>
    <w:p>
      <w:pPr>
        <w:adjustRightInd w:val="0"/>
        <w:spacing w:line="360" w:lineRule="auto"/>
        <w:jc w:val="center"/>
        <w:rPr>
          <w:rStyle w:val="10"/>
          <w:rFonts w:ascii="黑体" w:hAnsi="黑体" w:eastAsia="黑体"/>
          <w:bCs w:val="0"/>
          <w:sz w:val="28"/>
          <w:szCs w:val="28"/>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理财产品管理人：兴银理财有限责任公司</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日期</w:t>
      </w:r>
      <w:r>
        <w:rPr>
          <w:rStyle w:val="10"/>
          <w:rFonts w:ascii="宋体" w:hAnsi="宋体" w:cs="Times New Roman"/>
          <w:sz w:val="32"/>
          <w:szCs w:val="32"/>
        </w:rPr>
        <w:t>：</w:t>
      </w:r>
      <w:r>
        <w:rPr>
          <w:rStyle w:val="10"/>
          <w:rFonts w:hint="eastAsia" w:ascii="宋体" w:hAnsi="宋体" w:cs="Times New Roman"/>
          <w:sz w:val="32"/>
          <w:szCs w:val="32"/>
        </w:rPr>
        <w:t>【2</w:t>
      </w:r>
      <w:r>
        <w:rPr>
          <w:rStyle w:val="10"/>
          <w:rFonts w:ascii="宋体" w:hAnsi="宋体" w:cs="Times New Roman"/>
          <w:sz w:val="32"/>
          <w:szCs w:val="32"/>
        </w:rPr>
        <w:t>023</w:t>
      </w:r>
      <w:r>
        <w:rPr>
          <w:rStyle w:val="10"/>
          <w:rFonts w:hint="eastAsia" w:ascii="宋体" w:hAnsi="宋体" w:cs="Times New Roman"/>
          <w:sz w:val="32"/>
          <w:szCs w:val="32"/>
        </w:rPr>
        <w:t>】年【</w:t>
      </w:r>
      <w:r>
        <w:rPr>
          <w:rStyle w:val="10"/>
          <w:rFonts w:ascii="宋体" w:hAnsi="宋体" w:cs="Times New Roman"/>
          <w:sz w:val="32"/>
          <w:szCs w:val="32"/>
        </w:rPr>
        <w:t>11</w:t>
      </w:r>
      <w:r>
        <w:rPr>
          <w:rStyle w:val="10"/>
          <w:rFonts w:hint="eastAsia" w:ascii="宋体" w:hAnsi="宋体" w:cs="Times New Roman"/>
          <w:sz w:val="32"/>
          <w:szCs w:val="32"/>
        </w:rPr>
        <w:t>】月</w:t>
      </w:r>
    </w:p>
    <w:p>
      <w:pPr>
        <w:adjustRightInd w:val="0"/>
        <w:spacing w:line="360" w:lineRule="auto"/>
        <w:jc w:val="center"/>
        <w:rPr>
          <w:rStyle w:val="10"/>
          <w:rFonts w:ascii="宋体" w:hAnsi="宋体"/>
          <w:sz w:val="32"/>
          <w:szCs w:val="32"/>
        </w:rPr>
      </w:pPr>
    </w:p>
    <w:p>
      <w:pPr>
        <w:pStyle w:val="1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5"/>
            <w:spacing w:line="360" w:lineRule="auto"/>
            <w:jc w:val="center"/>
          </w:pPr>
          <w:bookmarkStart w:id="66" w:name="_Toc78276587"/>
          <w:r>
            <w:rPr>
              <w:lang w:val="zh-CN"/>
            </w:rPr>
            <w:t>目录</w:t>
          </w:r>
        </w:p>
        <w:p>
          <w:pPr>
            <w:pStyle w:val="5"/>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11"/>
              <w:rFonts w:hint="eastAsia" w:ascii="Times New Roman"/>
            </w:rPr>
            <w:t>第一条</w:t>
          </w:r>
          <w:r>
            <w:rPr>
              <w:rStyle w:val="11"/>
              <w:rFonts w:ascii="Times New Roman"/>
            </w:rPr>
            <w:t xml:space="preserve">  </w:t>
          </w:r>
          <w:r>
            <w:rPr>
              <w:rStyle w:val="11"/>
              <w:rFonts w:hint="eastAsia" w:ascii="Times New Roman"/>
            </w:rPr>
            <w:t>释义</w:t>
          </w:r>
          <w:r>
            <w:tab/>
          </w:r>
          <w:r>
            <w:fldChar w:fldCharType="begin"/>
          </w:r>
          <w:r>
            <w:instrText xml:space="preserve"> PAGEREF _Toc116649649 \h </w:instrText>
          </w:r>
          <w:r>
            <w:fldChar w:fldCharType="separate"/>
          </w:r>
          <w:r>
            <w:t>1</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11"/>
              <w:rFonts w:hint="eastAsia" w:hAnsi="宋体"/>
            </w:rPr>
            <w:t>第二条</w:t>
          </w:r>
          <w:r>
            <w:rPr>
              <w:rStyle w:val="11"/>
              <w:rFonts w:hAnsi="宋体"/>
            </w:rPr>
            <w:t xml:space="preserve">  </w:t>
          </w:r>
          <w:r>
            <w:rPr>
              <w:rStyle w:val="11"/>
              <w:rFonts w:hint="eastAsia" w:hAnsi="宋体"/>
            </w:rPr>
            <w:t>理财产品基本情况</w:t>
          </w:r>
          <w:r>
            <w:rPr>
              <w:rStyle w:val="11"/>
              <w:rFonts w:hAnsi="宋体"/>
            </w:rPr>
            <w:t xml:space="preserve"> </w:t>
          </w:r>
          <w:r>
            <w:tab/>
          </w:r>
          <w:r>
            <w:fldChar w:fldCharType="begin"/>
          </w:r>
          <w:r>
            <w:instrText xml:space="preserve"> PAGEREF _Toc116649650 \h </w:instrText>
          </w:r>
          <w:r>
            <w:fldChar w:fldCharType="separate"/>
          </w:r>
          <w:r>
            <w:t>6</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11"/>
              <w:rFonts w:hint="eastAsia" w:ascii="Times New Roman"/>
            </w:rPr>
            <w:t>第三条</w:t>
          </w:r>
          <w:r>
            <w:rPr>
              <w:rStyle w:val="11"/>
              <w:rFonts w:ascii="Times New Roman"/>
            </w:rPr>
            <w:t xml:space="preserve">  </w:t>
          </w:r>
          <w:r>
            <w:rPr>
              <w:rStyle w:val="11"/>
              <w:rFonts w:hint="eastAsia" w:ascii="Times New Roman"/>
            </w:rPr>
            <w:t>理财产品的认购</w:t>
          </w:r>
          <w:r>
            <w:tab/>
          </w:r>
          <w:r>
            <w:fldChar w:fldCharType="begin"/>
          </w:r>
          <w:r>
            <w:instrText xml:space="preserve"> PAGEREF _Toc116649651 \h </w:instrText>
          </w:r>
          <w:r>
            <w:fldChar w:fldCharType="separate"/>
          </w:r>
          <w:r>
            <w:t>11</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11"/>
              <w:rFonts w:hint="eastAsia" w:ascii="Times New Roman"/>
            </w:rPr>
            <w:t>第四条</w:t>
          </w:r>
          <w:r>
            <w:rPr>
              <w:rStyle w:val="11"/>
              <w:rFonts w:ascii="Times New Roman"/>
            </w:rPr>
            <w:t xml:space="preserve">  </w:t>
          </w:r>
          <w:r>
            <w:rPr>
              <w:rStyle w:val="11"/>
              <w:rFonts w:hint="eastAsia" w:ascii="Times New Roman"/>
            </w:rPr>
            <w:t>理财产品的申购与赎回</w:t>
          </w:r>
          <w:r>
            <w:tab/>
          </w:r>
          <w:r>
            <w:fldChar w:fldCharType="begin"/>
          </w:r>
          <w:r>
            <w:instrText xml:space="preserve"> PAGEREF _Toc116649652 \h </w:instrText>
          </w:r>
          <w:r>
            <w:fldChar w:fldCharType="separate"/>
          </w:r>
          <w:r>
            <w:t>13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11"/>
              <w:rFonts w:hint="eastAsia" w:ascii="Times New Roman"/>
            </w:rPr>
            <w:t>第五条</w:t>
          </w:r>
          <w:r>
            <w:rPr>
              <w:rStyle w:val="11"/>
              <w:rFonts w:ascii="Times New Roman"/>
            </w:rPr>
            <w:t xml:space="preserve">  </w:t>
          </w:r>
          <w:r>
            <w:rPr>
              <w:rStyle w:val="11"/>
              <w:rFonts w:hint="eastAsia" w:ascii="Times New Roman"/>
            </w:rPr>
            <w:t>理财产品的投资</w:t>
          </w:r>
          <w:r>
            <w:tab/>
          </w:r>
          <w:r>
            <w:fldChar w:fldCharType="begin"/>
          </w:r>
          <w:r>
            <w:instrText xml:space="preserve"> PAGEREF _Toc116649653 \h </w:instrText>
          </w:r>
          <w:r>
            <w:fldChar w:fldCharType="separate"/>
          </w:r>
          <w:r>
            <w:t>14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11"/>
              <w:rFonts w:hint="eastAsia" w:ascii="Times New Roman"/>
            </w:rPr>
            <w:t>第六条</w:t>
          </w:r>
          <w:r>
            <w:rPr>
              <w:rStyle w:val="11"/>
              <w:rFonts w:ascii="Times New Roman"/>
            </w:rPr>
            <w:t xml:space="preserve">  </w:t>
          </w:r>
          <w:r>
            <w:rPr>
              <w:rStyle w:val="11"/>
              <w:rFonts w:hint="eastAsia" w:ascii="Times New Roman"/>
            </w:rPr>
            <w:t>理财产品的资产</w:t>
          </w:r>
          <w:r>
            <w:tab/>
          </w:r>
          <w:r>
            <w:fldChar w:fldCharType="begin"/>
          </w:r>
          <w:r>
            <w:instrText xml:space="preserve"> PAGEREF _Toc116649654 \h </w:instrText>
          </w:r>
          <w:r>
            <w:fldChar w:fldCharType="separate"/>
          </w:r>
          <w:r>
            <w:t>16</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11"/>
              <w:rFonts w:hint="eastAsia" w:ascii="Times New Roman"/>
            </w:rPr>
            <w:t>第七条</w:t>
          </w:r>
          <w:r>
            <w:rPr>
              <w:rStyle w:val="11"/>
              <w:rFonts w:ascii="Times New Roman"/>
            </w:rPr>
            <w:t xml:space="preserve">  </w:t>
          </w:r>
          <w:r>
            <w:rPr>
              <w:rStyle w:val="11"/>
              <w:rFonts w:hint="eastAsia" w:ascii="Times New Roman"/>
            </w:rPr>
            <w:t>理财产品项下资产的估值</w:t>
          </w:r>
          <w:r>
            <w:tab/>
          </w:r>
          <w:r>
            <w:fldChar w:fldCharType="begin"/>
          </w:r>
          <w:r>
            <w:instrText xml:space="preserve"> PAGEREF _Toc116649655 \h </w:instrText>
          </w:r>
          <w:r>
            <w:fldChar w:fldCharType="separate"/>
          </w:r>
          <w:r>
            <w:t>17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11"/>
              <w:rFonts w:hint="eastAsia" w:ascii="Times New Roman"/>
            </w:rPr>
            <w:t>第八条</w:t>
          </w:r>
          <w:r>
            <w:rPr>
              <w:rStyle w:val="11"/>
              <w:rFonts w:ascii="Times New Roman"/>
            </w:rPr>
            <w:t xml:space="preserve">  </w:t>
          </w:r>
          <w:r>
            <w:rPr>
              <w:rStyle w:val="11"/>
              <w:rFonts w:hint="eastAsia" w:ascii="Times New Roman"/>
            </w:rPr>
            <w:t>理财产品的利益分配</w:t>
          </w:r>
          <w:r>
            <w:tab/>
          </w:r>
          <w:r>
            <w:fldChar w:fldCharType="begin"/>
          </w:r>
          <w:r>
            <w:instrText xml:space="preserve"> PAGEREF _Toc116649656 \h </w:instrText>
          </w:r>
          <w:r>
            <w:fldChar w:fldCharType="separate"/>
          </w:r>
          <w:r>
            <w:t>21</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11"/>
              <w:rFonts w:hint="eastAsia" w:ascii="Times New Roman"/>
            </w:rPr>
            <w:t>第九条</w:t>
          </w:r>
          <w:r>
            <w:rPr>
              <w:rStyle w:val="11"/>
              <w:rFonts w:ascii="Times New Roman"/>
            </w:rPr>
            <w:t xml:space="preserve">  </w:t>
          </w:r>
          <w:r>
            <w:rPr>
              <w:rStyle w:val="11"/>
              <w:rFonts w:hint="eastAsia" w:ascii="Times New Roman"/>
            </w:rPr>
            <w:t>理财产品的费用与税收</w:t>
          </w:r>
          <w:r>
            <w:tab/>
          </w:r>
          <w:r>
            <w:fldChar w:fldCharType="begin"/>
          </w:r>
          <w:r>
            <w:instrText xml:space="preserve"> PAGEREF _Toc116649657 \h </w:instrText>
          </w:r>
          <w:r>
            <w:fldChar w:fldCharType="separate"/>
          </w:r>
          <w:r>
            <w:t>22</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11"/>
              <w:rFonts w:hint="eastAsia"/>
            </w:rPr>
            <w:t>第十条</w:t>
          </w:r>
          <w:r>
            <w:rPr>
              <w:rStyle w:val="11"/>
            </w:rPr>
            <w:t xml:space="preserve">  </w:t>
          </w:r>
          <w:r>
            <w:rPr>
              <w:rStyle w:val="11"/>
              <w:rFonts w:hint="eastAsia"/>
            </w:rPr>
            <w:t>理财产品的终止与清算</w:t>
          </w:r>
          <w:r>
            <w:tab/>
          </w:r>
          <w:r>
            <w:fldChar w:fldCharType="begin"/>
          </w:r>
          <w:r>
            <w:instrText xml:space="preserve"> PAGEREF _Toc116649658 \h </w:instrText>
          </w:r>
          <w:r>
            <w:fldChar w:fldCharType="separate"/>
          </w:r>
          <w:r>
            <w:t>25</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11"/>
              <w:rFonts w:hint="eastAsia" w:ascii="Times New Roman"/>
            </w:rPr>
            <w:t>第十一条</w:t>
          </w:r>
          <w:r>
            <w:rPr>
              <w:rStyle w:val="11"/>
              <w:rFonts w:ascii="Times New Roman"/>
            </w:rPr>
            <w:t xml:space="preserve">  </w:t>
          </w:r>
          <w:r>
            <w:rPr>
              <w:rStyle w:val="11"/>
              <w:rFonts w:hint="eastAsia" w:ascii="Times New Roman"/>
            </w:rPr>
            <w:t>理财产品的信息披露</w:t>
          </w:r>
          <w:r>
            <w:tab/>
          </w:r>
          <w:r>
            <w:fldChar w:fldCharType="begin"/>
          </w:r>
          <w:r>
            <w:instrText xml:space="preserve"> PAGEREF _Toc116649659 \h </w:instrText>
          </w:r>
          <w:r>
            <w:fldChar w:fldCharType="separate"/>
          </w:r>
          <w:r>
            <w:t>27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11"/>
              <w:rFonts w:hint="eastAsia" w:ascii="Times New Roman"/>
            </w:rPr>
            <w:t>第十二条</w:t>
          </w:r>
          <w:r>
            <w:rPr>
              <w:rStyle w:val="11"/>
              <w:rFonts w:ascii="Times New Roman"/>
            </w:rPr>
            <w:t xml:space="preserve">  </w:t>
          </w:r>
          <w:r>
            <w:rPr>
              <w:rStyle w:val="11"/>
              <w:rFonts w:hint="eastAsia" w:ascii="Times New Roman"/>
            </w:rPr>
            <w:t>理财产品的风险揭示</w:t>
          </w:r>
          <w:r>
            <w:tab/>
          </w:r>
          <w:r>
            <w:fldChar w:fldCharType="begin"/>
          </w:r>
          <w:r>
            <w:instrText xml:space="preserve"> PAGEREF _Toc116649660 \h </w:instrText>
          </w:r>
          <w:r>
            <w:fldChar w:fldCharType="separate"/>
          </w:r>
          <w:r>
            <w:t>29</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headerReference r:id="rId7" w:type="default"/>
          <w:footerReference r:id="rId8" w:type="default"/>
          <w:pgSz w:w="11906" w:h="16838"/>
          <w:pgMar w:top="1276" w:right="1800" w:bottom="1418" w:left="1800" w:header="567" w:footer="964" w:gutter="0"/>
          <w:cols w:space="425" w:num="1"/>
          <w:docGrid w:type="lines" w:linePitch="312" w:charSpace="0"/>
        </w:sectPr>
      </w:pPr>
    </w:p>
    <w:p>
      <w:pPr>
        <w:pStyle w:val="2"/>
        <w:spacing w:before="0" w:after="0" w:line="360" w:lineRule="auto"/>
        <w:jc w:val="center"/>
        <w:rPr>
          <w:rFonts w:ascii="Times New Roman"/>
          <w:sz w:val="30"/>
        </w:rPr>
      </w:pPr>
      <w:bookmarkStart w:id="67"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 xml:space="preserve">：指中国工商银行股份有限公司（以下简称“工商银行”）。工商银行成立于1984年，于1998年开展资产托管业务，具备理财产品托管资格。托管人负责履行安全保管理财产品资金及其所投资的资产，办理清算、交割事宜，与管理人对账，监督理财产品投资运作等职责。 </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：指产品管理人向投资者提供的，用于描述产品特征，约定权利义务的文件。具体指《兴银理财【稳利安盈封闭式】理财产品销售文件》，包括《投资协议书》、《产品说明书》、《（代理）销售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《投资协议书》：指管理人统一编制的《兴银理财【稳利安盈封闭式】理财产品投资协议书》，以及对该文件的有效修改或补充。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）《产品说明书》：指管理人统一编制的《兴银理财【稳利安盈封闭式】理财产品产品说明书》，以及对该文件的有效修改或补充。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（4）《（代理）销售协议书》：指管理人统一编制的《兴银理财【稳利安盈封闭式】理财产品（代理）销售协议书》或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的《兴银理财【稳利安盈封闭式】理财产品（代理）销售协议书》（文件名称以代理销售机构实际编制为准），以及对该文件的有效修改或补充。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）《风险揭示书》：指管理人统一编制的《兴银理财【稳利安盈封闭式】理财产品风险揭示书》或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的《兴银理财【稳利安盈封闭式】理财产品风险揭示书》（文件名称以代理销售机构实际编制为准），以及对该文件的有效修改或补充。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）《投资者权益须知》：指管理人统一编制的《兴银理财【稳利安盈封闭式】理财产品投资者权益须知》或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《兴银理财【稳利安盈封闭式】理财产品投资者权益须知》（文件名称以代理销售机构实际编制为准），以及对该文件的有效修改或补充。</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1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68" w:name="_Toc79154665"/>
      <w:bookmarkStart w:id="69" w:name="_Toc116649650"/>
      <w:r>
        <w:rPr>
          <w:rFonts w:hint="eastAsia" w:hAnsi="宋体"/>
          <w:sz w:val="28"/>
          <w:szCs w:val="28"/>
        </w:rPr>
        <w:t>第二条  理财产品基本情况</w:t>
      </w:r>
      <w:bookmarkEnd w:id="68"/>
      <w:r>
        <w:rPr>
          <w:rFonts w:hint="eastAsia" w:hAnsi="宋体"/>
          <w:sz w:val="28"/>
          <w:szCs w:val="28"/>
        </w:rPr>
        <w:t xml:space="preserve"> </w:t>
      </w:r>
      <w:bookmarkEnd w:id="69"/>
    </w:p>
    <w:tbl>
      <w:tblPr>
        <w:tblStyle w:val="7"/>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ascii="宋体" w:hAnsi="宋体"/>
                <w:bCs/>
                <w:sz w:val="18"/>
                <w:szCs w:val="18"/>
              </w:rPr>
            </w:pPr>
            <w:r>
              <w:rPr>
                <w:rFonts w:hint="eastAsia" w:asciiTheme="majorEastAsia" w:hAnsiTheme="majorEastAsia" w:eastAsiaTheme="majorEastAsia"/>
                <w:bCs/>
                <w:kern w:val="0"/>
                <w:sz w:val="18"/>
                <w:szCs w:val="18"/>
              </w:rPr>
              <w:t>【兴银理财稳利安盈封闭式2023年216期固收类理财产品】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widowControl/>
              <w:spacing w:line="360" w:lineRule="auto"/>
              <w:jc w:val="left"/>
              <w:rPr>
                <w:rFonts w:hAnsi="宋体"/>
                <w:sz w:val="18"/>
                <w:szCs w:val="18"/>
              </w:rPr>
            </w:pPr>
            <w:r>
              <w:rPr>
                <w:rFonts w:hint="eastAsia" w:asciiTheme="majorEastAsia" w:hAnsiTheme="majorEastAsia" w:eastAsiaTheme="majorEastAsia"/>
                <w:bCs/>
                <w:kern w:val="0"/>
                <w:sz w:val="18"/>
                <w:szCs w:val="18"/>
              </w:rPr>
              <w:t>【兴银理财稳利安盈封闭式2023年216期C】</w:t>
            </w:r>
            <w:r>
              <w:rPr>
                <w:rFonts w:hint="eastAsia" w:hAnsi="宋体"/>
                <w:sz w:val="18"/>
                <w:szCs w:val="18"/>
              </w:rPr>
              <w:t>（适用【C】类份额）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asciiTheme="minorEastAsia" w:hAnsiTheme="minorEastAsia"/>
                <w:sz w:val="18"/>
                <w:szCs w:val="18"/>
              </w:rPr>
              <w:t>Z7002023000918</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【9A223160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Ansi="宋体"/>
                <w:sz w:val="18"/>
                <w:szCs w:val="18"/>
              </w:rPr>
            </w:pPr>
            <w:r>
              <w:rPr>
                <w:rFonts w:hint="eastAsia" w:asciiTheme="minorEastAsia" w:hAnsiTheme="minorEastAsia"/>
                <w:sz w:val="18"/>
                <w:szCs w:val="18"/>
              </w:rPr>
              <w:t>【</w:t>
            </w:r>
            <w:r>
              <w:rPr>
                <w:rFonts w:asciiTheme="minorEastAsia" w:hAnsiTheme="minorEastAsia"/>
                <w:sz w:val="18"/>
                <w:szCs w:val="18"/>
              </w:rPr>
              <w:t>9A22316C</w:t>
            </w:r>
            <w:r>
              <w:rPr>
                <w:rFonts w:hint="eastAsia" w:asciiTheme="minorEastAsia" w:hAnsiTheme="minorEastAsia"/>
                <w:sz w:val="18"/>
                <w:szCs w:val="18"/>
              </w:rPr>
              <w:t>】（适用【C】类份额）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b/>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
                <w:sz w:val="18"/>
                <w:szCs w:val="18"/>
              </w:rPr>
              <w:t>注</w:t>
            </w:r>
            <w:r>
              <w:rPr>
                <w:rFonts w:ascii="黑体" w:hAnsi="黑体" w:eastAsia="黑体"/>
                <w:b/>
                <w:sz w:val="18"/>
                <w:szCs w:val="18"/>
              </w:rPr>
              <w:t>：</w:t>
            </w:r>
            <w:r>
              <w:rPr>
                <w:rFonts w:hint="eastAsia" w:ascii="黑体" w:hAnsi="黑体" w:eastAsia="黑体"/>
                <w:b/>
                <w:sz w:val="18"/>
                <w:szCs w:val="18"/>
              </w:rPr>
              <w:t>若本</w:t>
            </w:r>
            <w:r>
              <w:rPr>
                <w:rFonts w:ascii="黑体" w:hAnsi="黑体" w:eastAsia="黑体"/>
                <w:b/>
                <w:sz w:val="18"/>
                <w:szCs w:val="18"/>
              </w:rPr>
              <w:t>产品通过代理销售机构销售的，</w:t>
            </w:r>
            <w:r>
              <w:rPr>
                <w:rFonts w:hint="eastAsia" w:ascii="黑体" w:hAnsi="黑体" w:eastAsia="黑体"/>
                <w:b/>
                <w:sz w:val="18"/>
                <w:szCs w:val="18"/>
              </w:rPr>
              <w:t>理财产品</w:t>
            </w:r>
            <w:r>
              <w:rPr>
                <w:rFonts w:ascii="黑体" w:hAnsi="黑体" w:eastAsia="黑体"/>
                <w:b/>
                <w:sz w:val="18"/>
                <w:szCs w:val="18"/>
              </w:rPr>
              <w:t>评级</w:t>
            </w:r>
            <w:r>
              <w:rPr>
                <w:rFonts w:hint="eastAsia" w:ascii="黑体" w:hAnsi="黑体" w:eastAsia="黑体"/>
                <w:b/>
                <w:sz w:val="18"/>
                <w:szCs w:val="18"/>
              </w:rPr>
              <w:t>以</w:t>
            </w:r>
            <w:r>
              <w:rPr>
                <w:rFonts w:ascii="黑体" w:hAnsi="黑体" w:eastAsia="黑体"/>
                <w:b/>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b/>
                <w:bCs/>
                <w:sz w:val="18"/>
                <w:szCs w:val="18"/>
              </w:rPr>
              <w:t>特别提示：当销售机构销售产品风险评级为</w:t>
            </w:r>
            <w:r>
              <w:rPr>
                <w:rFonts w:ascii="黑体" w:hAnsi="黑体" w:eastAsia="黑体"/>
                <w:b/>
                <w:bCs/>
                <w:sz w:val="18"/>
                <w:szCs w:val="18"/>
              </w:rPr>
              <w:t>R4</w:t>
            </w:r>
            <w:r>
              <w:rPr>
                <w:rFonts w:hint="eastAsia" w:ascii="黑体" w:hAnsi="黑体" w:eastAsia="黑体"/>
                <w:b/>
                <w:bCs/>
                <w:sz w:val="18"/>
                <w:szCs w:val="18"/>
              </w:rPr>
              <w:t>及</w:t>
            </w:r>
            <w:r>
              <w:rPr>
                <w:rFonts w:ascii="黑体" w:hAnsi="黑体" w:eastAsia="黑体"/>
                <w:b/>
                <w:bCs/>
                <w:sz w:val="18"/>
                <w:szCs w:val="18"/>
              </w:rPr>
              <w:t>以上</w:t>
            </w:r>
            <w:r>
              <w:rPr>
                <w:rFonts w:hint="eastAsia" w:ascii="黑体" w:hAnsi="黑体" w:eastAsia="黑体"/>
                <w:b/>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中国工商银行股份有限公司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asciiTheme="majorEastAsia" w:hAnsiTheme="majorEastAsia" w:eastAsiaTheme="majorEastAsia"/>
                <w:bCs/>
                <w:sz w:val="18"/>
                <w:szCs w:val="18"/>
              </w:rPr>
              <w:t>10</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asciiTheme="majorEastAsia" w:hAnsiTheme="majorEastAsia" w:eastAsiaTheme="majorEastAsia"/>
                <w:bCs/>
                <w:sz w:val="18"/>
                <w:szCs w:val="18"/>
              </w:rPr>
              <w:t>111</w:t>
            </w:r>
            <w:r>
              <w:rPr>
                <w:rFonts w:hint="eastAsia" w:asciiTheme="majorEastAsia" w:hAnsiTheme="majorEastAsia" w:eastAsiaTheme="majorEastAsia"/>
                <w:bCs/>
                <w:sz w:val="18"/>
                <w:szCs w:val="18"/>
              </w:rPr>
              <w:t>】天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023】年【11</w:t>
            </w:r>
            <w:r>
              <w:rPr>
                <w:rFonts w:hint="eastAsia" w:cs="Times New Roman" w:asciiTheme="minorEastAsia" w:hAnsiTheme="minorEastAsia"/>
                <w:sz w:val="18"/>
                <w:szCs w:val="18"/>
              </w:rPr>
              <w:t>】月【</w:t>
            </w:r>
            <w:r>
              <w:rPr>
                <w:rFonts w:cs="Times New Roman" w:asciiTheme="minorEastAsia" w:hAnsiTheme="minorEastAsia"/>
                <w:sz w:val="18"/>
                <w:szCs w:val="18"/>
              </w:rPr>
              <w:t>29</w:t>
            </w:r>
            <w:r>
              <w:rPr>
                <w:rFonts w:hint="eastAsia" w:cs="Times New Roman" w:asciiTheme="minorEastAsia" w:hAnsiTheme="minorEastAsia"/>
                <w:sz w:val="18"/>
                <w:szCs w:val="18"/>
              </w:rPr>
              <w:t>】日【9:0</w:t>
            </w:r>
            <w:r>
              <w:rPr>
                <w:rFonts w:cs="Times New Roman" w:asciiTheme="minorEastAsia" w:hAnsiTheme="minorEastAsia"/>
                <w:sz w:val="18"/>
                <w:szCs w:val="18"/>
              </w:rPr>
              <w:t>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023】年【12</w:t>
            </w:r>
            <w:r>
              <w:rPr>
                <w:rFonts w:hint="eastAsia" w:cs="Times New Roman" w:asciiTheme="minorEastAsia" w:hAnsiTheme="minorEastAsia"/>
                <w:sz w:val="18"/>
                <w:szCs w:val="18"/>
              </w:rPr>
              <w:t>】月【</w:t>
            </w:r>
            <w:r>
              <w:rPr>
                <w:rFonts w:cs="Times New Roman" w:asciiTheme="minorEastAsia" w:hAnsiTheme="minorEastAsia"/>
                <w:sz w:val="18"/>
                <w:szCs w:val="18"/>
              </w:rPr>
              <w:t>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w:t>
            </w:r>
            <w:r>
              <w:rPr>
                <w:rFonts w:hint="eastAsia" w:asciiTheme="majorEastAsia" w:hAnsiTheme="majorEastAsia" w:eastAsiaTheme="majorEastAsia"/>
                <w:sz w:val="18"/>
                <w:szCs w:val="18"/>
              </w:rPr>
              <w:t>:0</w:t>
            </w:r>
            <w:r>
              <w:rPr>
                <w:rFonts w:asciiTheme="majorEastAsia" w:hAnsiTheme="majorEastAsia" w:eastAsiaTheme="majorEastAsia"/>
                <w:sz w:val="18"/>
                <w:szCs w:val="18"/>
              </w:rPr>
              <w:t>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p>
            <w:pPr>
              <w:spacing w:line="360" w:lineRule="auto"/>
              <w:rPr>
                <w:rFonts w:ascii="黑体" w:hAnsi="黑体" w:eastAsia="黑体"/>
                <w:b/>
                <w:bCs/>
                <w:color w:val="000000" w:themeColor="text1"/>
                <w:sz w:val="18"/>
                <w:szCs w:val="18"/>
                <w14:textFill>
                  <w14:solidFill>
                    <w14:schemeClr w14:val="tx1"/>
                  </w14:solidFill>
                </w14:textFill>
              </w:rPr>
            </w:pPr>
            <w:r>
              <w:rPr>
                <w:rFonts w:hint="eastAsia" w:hAnsi="宋体"/>
                <w:b/>
                <w:sz w:val="18"/>
                <w:szCs w:val="18"/>
              </w:rPr>
              <w:t>★</w:t>
            </w:r>
            <w:r>
              <w:rPr>
                <w:rFonts w:hint="eastAsia" w:ascii="黑体" w:hAnsi="黑体" w:eastAsia="黑体"/>
                <w:b/>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
                <w:bCs/>
                <w:color w:val="000000" w:themeColor="text1"/>
                <w:sz w:val="18"/>
                <w:szCs w:val="18"/>
                <w14:textFill>
                  <w14:solidFill>
                    <w14:schemeClr w14:val="tx1"/>
                  </w14:solidFill>
                </w14:textFill>
              </w:rPr>
              <w:t>以</w:t>
            </w:r>
            <w:r>
              <w:rPr>
                <w:rFonts w:hint="eastAsia" w:ascii="黑体" w:hAnsi="黑体" w:eastAsia="黑体"/>
                <w:b/>
                <w:bCs/>
                <w:color w:val="000000" w:themeColor="text1"/>
                <w:sz w:val="18"/>
                <w:szCs w:val="18"/>
                <w14:textFill>
                  <w14:solidFill>
                    <w14:schemeClr w14:val="tx1"/>
                  </w14:solidFill>
                </w14:textFill>
              </w:rPr>
              <w:t>代理销售机构的展示</w:t>
            </w:r>
            <w:r>
              <w:rPr>
                <w:rFonts w:ascii="黑体" w:hAnsi="黑体" w:eastAsia="黑体"/>
                <w:b/>
                <w:bCs/>
                <w:color w:val="000000" w:themeColor="text1"/>
                <w:sz w:val="18"/>
                <w:szCs w:val="18"/>
                <w14:textFill>
                  <w14:solidFill>
                    <w14:schemeClr w14:val="tx1"/>
                  </w14:solidFill>
                </w14:textFill>
              </w:rPr>
              <w:t>为准</w:t>
            </w:r>
            <w:r>
              <w:rPr>
                <w:rFonts w:hint="eastAsia" w:ascii="黑体" w:hAnsi="黑体" w:eastAsia="黑体"/>
                <w:b/>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黑体" w:hAnsi="黑体" w:eastAsia="黑体"/>
                <w:b/>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
                <w:bCs/>
                <w:color w:val="000000" w:themeColor="text1"/>
                <w:sz w:val="18"/>
                <w:szCs w:val="18"/>
                <w14:textFill>
                  <w14:solidFill>
                    <w14:schemeClr w14:val="tx1"/>
                  </w14:solidFill>
                </w14:textFill>
              </w:rPr>
              <w:t>的</w:t>
            </w:r>
            <w:r>
              <w:rPr>
                <w:rFonts w:hint="eastAsia" w:ascii="黑体" w:hAnsi="黑体" w:eastAsia="黑体"/>
                <w:b/>
                <w:bCs/>
                <w:color w:val="000000" w:themeColor="text1"/>
                <w:sz w:val="18"/>
                <w:szCs w:val="18"/>
                <w14:textFill>
                  <w14:solidFill>
                    <w14:schemeClr w14:val="tx1"/>
                  </w14:solidFill>
                </w14:textFill>
              </w:rPr>
              <w:t>起始时点、最晚不得晚于销售文件</w:t>
            </w:r>
            <w:r>
              <w:rPr>
                <w:rFonts w:ascii="黑体" w:hAnsi="黑体" w:eastAsia="黑体"/>
                <w:b/>
                <w:bCs/>
                <w:color w:val="000000" w:themeColor="text1"/>
                <w:sz w:val="18"/>
                <w:szCs w:val="18"/>
                <w14:textFill>
                  <w14:solidFill>
                    <w14:schemeClr w14:val="tx1"/>
                  </w14:solidFill>
                </w14:textFill>
              </w:rPr>
              <w:t>约定的</w:t>
            </w:r>
            <w:r>
              <w:rPr>
                <w:rFonts w:hint="eastAsia" w:ascii="黑体" w:hAnsi="黑体" w:eastAsia="黑体"/>
                <w:b/>
                <w:bCs/>
                <w:color w:val="000000" w:themeColor="text1"/>
                <w:sz w:val="18"/>
                <w:szCs w:val="18"/>
                <w14:textFill>
                  <w14:solidFill>
                    <w14:schemeClr w14:val="tx1"/>
                  </w14:solidFill>
                </w14:textFill>
              </w:rPr>
              <w:t>终止时点</w:t>
            </w:r>
            <w:r>
              <w:rPr>
                <w:rFonts w:ascii="黑体" w:hAnsi="黑体" w:eastAsia="黑体"/>
                <w:b/>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023】年【12</w:t>
            </w:r>
            <w:r>
              <w:rPr>
                <w:rFonts w:hint="eastAsia" w:cs="Times New Roman" w:asciiTheme="minorEastAsia" w:hAnsiTheme="minorEastAsia"/>
                <w:sz w:val="18"/>
                <w:szCs w:val="18"/>
              </w:rPr>
              <w:t>】月【</w:t>
            </w:r>
            <w:r>
              <w:rPr>
                <w:rFonts w:cs="Times New Roman" w:asciiTheme="minorEastAsia" w:hAnsiTheme="minorEastAsia"/>
                <w:sz w:val="18"/>
                <w:szCs w:val="18"/>
              </w:rPr>
              <w:t>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024】年【3</w:t>
            </w:r>
            <w:r>
              <w:rPr>
                <w:rFonts w:hint="eastAsia" w:cs="Times New Roman" w:asciiTheme="minorEastAsia" w:hAnsiTheme="minorEastAsia"/>
                <w:sz w:val="18"/>
                <w:szCs w:val="18"/>
              </w:rPr>
              <w:t>】月【</w:t>
            </w:r>
            <w:r>
              <w:rPr>
                <w:rFonts w:cs="Times New Roman" w:asciiTheme="minorEastAsia" w:hAnsiTheme="minorEastAsia"/>
                <w:sz w:val="18"/>
                <w:szCs w:val="18"/>
              </w:rPr>
              <w:t>27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】元；超出起点金额的部分以【0</w:t>
            </w:r>
            <w:r>
              <w:rPr>
                <w:rFonts w:asciiTheme="majorEastAsia" w:hAnsiTheme="majorEastAsia" w:eastAsiaTheme="majorEastAsia"/>
                <w:bCs/>
                <w:sz w:val="18"/>
                <w:szCs w:val="18"/>
              </w:rPr>
              <w:t>.0</w:t>
            </w:r>
            <w:r>
              <w:rPr>
                <w:rFonts w:hint="eastAsia" w:asciiTheme="majorEastAsia" w:hAnsiTheme="majorEastAsia" w:eastAsiaTheme="majorEastAsia"/>
                <w:bCs/>
                <w:sz w:val="18"/>
                <w:szCs w:val="18"/>
              </w:rPr>
              <w:t>1】元的整数倍递增。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（适用【C】类份额）</w:t>
            </w:r>
          </w:p>
          <w:p>
            <w:pPr>
              <w:spacing w:line="360" w:lineRule="auto"/>
              <w:rPr>
                <w:rFonts w:ascii="黑体" w:hAnsi="黑体" w:eastAsia="黑体"/>
                <w:b/>
                <w:bCs/>
                <w:color w:val="000000" w:themeColor="text1"/>
                <w:sz w:val="18"/>
                <w:szCs w:val="18"/>
                <w14:textFill>
                  <w14:solidFill>
                    <w14:schemeClr w14:val="tx1"/>
                  </w14:solidFill>
                </w14:textFill>
              </w:rPr>
            </w:pPr>
            <w:r>
              <w:rPr>
                <w:rFonts w:hint="eastAsia" w:hAnsi="宋体"/>
                <w:b/>
                <w:sz w:val="18"/>
                <w:szCs w:val="18"/>
              </w:rPr>
              <w:t>★</w:t>
            </w:r>
            <w:r>
              <w:rPr>
                <w:rFonts w:hint="eastAsia" w:ascii="黑体" w:hAnsi="黑体" w:eastAsia="黑体"/>
                <w:b/>
                <w:bCs/>
                <w:color w:val="000000" w:themeColor="text1"/>
                <w:sz w:val="18"/>
                <w:szCs w:val="18"/>
                <w14:textFill>
                  <w14:solidFill>
                    <w14:schemeClr w14:val="tx1"/>
                  </w14:solidFill>
                </w14:textFill>
              </w:rPr>
              <w:t>注</w:t>
            </w:r>
            <w:r>
              <w:rPr>
                <w:rFonts w:ascii="黑体" w:hAnsi="黑体" w:eastAsia="黑体"/>
                <w:b/>
                <w:bCs/>
                <w:color w:val="000000" w:themeColor="text1"/>
                <w:sz w:val="18"/>
                <w:szCs w:val="18"/>
                <w14:textFill>
                  <w14:solidFill>
                    <w14:schemeClr w14:val="tx1"/>
                  </w14:solidFill>
                </w14:textFill>
              </w:rPr>
              <w:t>：</w:t>
            </w:r>
            <w:r>
              <w:rPr>
                <w:rFonts w:hint="eastAsia" w:ascii="黑体" w:hAnsi="黑体" w:eastAsia="黑体"/>
                <w:b/>
                <w:bCs/>
                <w:color w:val="000000" w:themeColor="text1"/>
                <w:sz w:val="18"/>
                <w:szCs w:val="18"/>
                <w14:textFill>
                  <w14:solidFill>
                    <w14:schemeClr w14:val="tx1"/>
                  </w14:solidFill>
                </w14:textFill>
              </w:rPr>
              <w:t>关于代理销售机构的实际销售</w:t>
            </w:r>
            <w:r>
              <w:rPr>
                <w:rFonts w:ascii="黑体" w:hAnsi="黑体" w:eastAsia="黑体"/>
                <w:b/>
                <w:bCs/>
                <w:color w:val="000000" w:themeColor="text1"/>
                <w:sz w:val="18"/>
                <w:szCs w:val="18"/>
                <w14:textFill>
                  <w14:solidFill>
                    <w14:schemeClr w14:val="tx1"/>
                  </w14:solidFill>
                </w14:textFill>
              </w:rPr>
              <w:t>起点金额</w:t>
            </w:r>
            <w:r>
              <w:rPr>
                <w:rFonts w:hint="eastAsia" w:ascii="黑体" w:hAnsi="黑体" w:eastAsia="黑体"/>
                <w:b/>
                <w:bCs/>
                <w:color w:val="000000" w:themeColor="text1"/>
                <w:sz w:val="18"/>
                <w:szCs w:val="18"/>
                <w14:textFill>
                  <w14:solidFill>
                    <w14:schemeClr w14:val="tx1"/>
                  </w14:solidFill>
                </w14:textFill>
              </w:rPr>
              <w:t>的提示</w:t>
            </w:r>
          </w:p>
          <w:p>
            <w:pPr>
              <w:spacing w:line="360" w:lineRule="auto"/>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
                <w:bCs/>
                <w:color w:val="000000" w:themeColor="text1"/>
                <w:sz w:val="18"/>
                <w:szCs w:val="18"/>
                <w14:textFill>
                  <w14:solidFill>
                    <w14:schemeClr w14:val="tx1"/>
                  </w14:solidFill>
                </w14:textFill>
              </w:rPr>
              <w:t>以</w:t>
            </w:r>
            <w:r>
              <w:rPr>
                <w:rFonts w:hint="eastAsia" w:ascii="黑体" w:hAnsi="黑体" w:eastAsia="黑体"/>
                <w:b/>
                <w:bCs/>
                <w:color w:val="000000" w:themeColor="text1"/>
                <w:sz w:val="18"/>
                <w:szCs w:val="18"/>
                <w14:textFill>
                  <w14:solidFill>
                    <w14:schemeClr w14:val="tx1"/>
                  </w14:solidFill>
                </w14:textFill>
              </w:rPr>
              <w:t>代理销售机构展示</w:t>
            </w:r>
            <w:r>
              <w:rPr>
                <w:rFonts w:ascii="黑体" w:hAnsi="黑体" w:eastAsia="黑体"/>
                <w:b/>
                <w:bCs/>
                <w:color w:val="000000" w:themeColor="text1"/>
                <w:sz w:val="18"/>
                <w:szCs w:val="18"/>
                <w14:textFill>
                  <w14:solidFill>
                    <w14:schemeClr w14:val="tx1"/>
                  </w14:solidFill>
                </w14:textFill>
              </w:rPr>
              <w:t>为准</w:t>
            </w:r>
            <w:r>
              <w:rPr>
                <w:rFonts w:hint="eastAsia" w:ascii="黑体" w:hAnsi="黑体" w:eastAsia="黑体"/>
                <w:b/>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
                <w:bCs/>
                <w:color w:val="000000" w:themeColor="text1"/>
                <w:sz w:val="18"/>
                <w:szCs w:val="18"/>
                <w14:textFill>
                  <w14:solidFill>
                    <w14:schemeClr w14:val="tx1"/>
                  </w14:solidFill>
                </w14:textFill>
              </w:rPr>
              <w:t>②代理销售机构的实际销售起点金额，</w:t>
            </w:r>
            <w:r>
              <w:rPr>
                <w:rFonts w:ascii="黑体" w:hAnsi="黑体" w:eastAsia="黑体"/>
                <w:b/>
                <w:bCs/>
                <w:color w:val="000000" w:themeColor="text1"/>
                <w:sz w:val="18"/>
                <w:szCs w:val="18"/>
                <w14:textFill>
                  <w14:solidFill>
                    <w14:schemeClr w14:val="tx1"/>
                  </w14:solidFill>
                </w14:textFill>
              </w:rPr>
              <w:t>不得低于</w:t>
            </w:r>
            <w:r>
              <w:rPr>
                <w:rFonts w:hint="eastAsia" w:ascii="黑体" w:hAnsi="黑体" w:eastAsia="黑体"/>
                <w:b/>
                <w:bCs/>
                <w:color w:val="000000" w:themeColor="text1"/>
                <w:sz w:val="18"/>
                <w:szCs w:val="18"/>
                <w14:textFill>
                  <w14:solidFill>
                    <w14:schemeClr w14:val="tx1"/>
                  </w14:solidFill>
                </w14:textFill>
              </w:rPr>
              <w:t>销售</w:t>
            </w:r>
            <w:r>
              <w:rPr>
                <w:rFonts w:ascii="黑体" w:hAnsi="黑体" w:eastAsia="黑体"/>
                <w:b/>
                <w:bCs/>
                <w:color w:val="000000" w:themeColor="text1"/>
                <w:sz w:val="18"/>
                <w:szCs w:val="18"/>
                <w14:textFill>
                  <w14:solidFill>
                    <w14:schemeClr w14:val="tx1"/>
                  </w14:solidFill>
                </w14:textFill>
              </w:rPr>
              <w:t>文件约定的</w:t>
            </w:r>
            <w:r>
              <w:rPr>
                <w:rFonts w:hint="eastAsia" w:ascii="黑体" w:hAnsi="黑体" w:eastAsia="黑体"/>
                <w:b/>
                <w:bCs/>
                <w:color w:val="000000" w:themeColor="text1"/>
                <w:sz w:val="18"/>
                <w:szCs w:val="18"/>
                <w14:textFill>
                  <w14:solidFill>
                    <w14:schemeClr w14:val="tx1"/>
                  </w14:solidFill>
                </w14:textFill>
              </w:rPr>
              <w:t>销售</w:t>
            </w:r>
            <w:r>
              <w:rPr>
                <w:rFonts w:ascii="黑体" w:hAnsi="黑体" w:eastAsia="黑体"/>
                <w:b/>
                <w:bCs/>
                <w:color w:val="000000" w:themeColor="text1"/>
                <w:sz w:val="18"/>
                <w:szCs w:val="18"/>
                <w14:textFill>
                  <w14:solidFill>
                    <w14:schemeClr w14:val="tx1"/>
                  </w14:solidFill>
                </w14:textFill>
              </w:rPr>
              <w:t>起点金额</w:t>
            </w:r>
            <w:r>
              <w:rPr>
                <w:rFonts w:hint="eastAsia" w:ascii="黑体" w:hAnsi="黑体" w:eastAsia="黑体"/>
                <w:b/>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14"/>
              <w:spacing w:line="360" w:lineRule="auto"/>
              <w:rPr>
                <w:rFonts w:hAnsi="宋体"/>
                <w:bCs/>
                <w:sz w:val="18"/>
                <w:szCs w:val="18"/>
              </w:rPr>
            </w:pPr>
            <w:r>
              <w:rPr>
                <w:rFonts w:hint="eastAsia" w:hAnsi="宋体"/>
                <w:bCs/>
                <w:sz w:val="18"/>
                <w:szCs w:val="18"/>
              </w:rPr>
              <w:t>（适用【C】类份额）</w:t>
            </w:r>
          </w:p>
          <w:p>
            <w:pPr>
              <w:pStyle w:val="1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1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1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1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4"/>
              <w:spacing w:line="360" w:lineRule="auto"/>
              <w:rPr>
                <w:rFonts w:ascii="黑体" w:hAnsi="黑体" w:eastAsia="黑体"/>
                <w:b/>
                <w:bCs/>
                <w:color w:val="000000" w:themeColor="text1"/>
                <w:sz w:val="18"/>
                <w:szCs w:val="18"/>
                <w14:textFill>
                  <w14:solidFill>
                    <w14:schemeClr w14:val="tx1"/>
                  </w14:solidFill>
                </w14:textFill>
              </w:rPr>
            </w:pPr>
            <w:r>
              <w:rPr>
                <w:rFonts w:hint="eastAsia" w:hAnsi="宋体"/>
                <w:b/>
                <w:sz w:val="18"/>
                <w:szCs w:val="18"/>
              </w:rPr>
              <w:t>★</w:t>
            </w:r>
            <w:r>
              <w:rPr>
                <w:rFonts w:hint="eastAsia" w:ascii="黑体" w:hAnsi="黑体" w:eastAsia="黑体"/>
                <w:b/>
                <w:bCs/>
                <w:color w:val="000000" w:themeColor="text1"/>
                <w:sz w:val="18"/>
                <w:szCs w:val="18"/>
                <w14:textFill>
                  <w14:solidFill>
                    <w14:schemeClr w14:val="tx1"/>
                  </w14:solidFill>
                </w14:textFill>
              </w:rPr>
              <w:t>注</w:t>
            </w:r>
            <w:r>
              <w:rPr>
                <w:rFonts w:ascii="黑体" w:hAnsi="黑体" w:eastAsia="黑体"/>
                <w:b/>
                <w:bCs/>
                <w:color w:val="000000" w:themeColor="text1"/>
                <w:sz w:val="18"/>
                <w:szCs w:val="18"/>
                <w14:textFill>
                  <w14:solidFill>
                    <w14:schemeClr w14:val="tx1"/>
                  </w14:solidFill>
                </w14:textFill>
              </w:rPr>
              <w:t>：</w:t>
            </w:r>
            <w:r>
              <w:rPr>
                <w:rFonts w:hint="eastAsia" w:ascii="黑体" w:hAnsi="黑体" w:eastAsia="黑体"/>
                <w:b/>
                <w:bCs/>
                <w:color w:val="000000" w:themeColor="text1"/>
                <w:sz w:val="18"/>
                <w:szCs w:val="18"/>
                <w14:textFill>
                  <w14:solidFill>
                    <w14:schemeClr w14:val="tx1"/>
                  </w14:solidFill>
                </w14:textFill>
              </w:rPr>
              <w:t>本产品单一投资者持有份额不得超过产品总份额</w:t>
            </w:r>
            <w:r>
              <w:rPr>
                <w:rFonts w:ascii="黑体" w:hAnsi="黑体" w:eastAsia="黑体"/>
                <w:b/>
                <w:bCs/>
                <w:color w:val="000000" w:themeColor="text1"/>
                <w:sz w:val="18"/>
                <w:szCs w:val="18"/>
                <w14:textFill>
                  <w14:solidFill>
                    <w14:schemeClr w14:val="tx1"/>
                  </w14:solidFill>
                </w14:textFill>
              </w:rPr>
              <w:t>50%。</w:t>
            </w:r>
          </w:p>
          <w:p>
            <w:pPr>
              <w:pStyle w:val="14"/>
              <w:spacing w:line="360" w:lineRule="auto"/>
              <w:rPr>
                <w:rFonts w:ascii="黑体" w:hAnsi="黑体" w:eastAsia="黑体"/>
                <w:b/>
                <w:bCs/>
                <w:color w:val="000000" w:themeColor="text1"/>
                <w:sz w:val="18"/>
                <w:szCs w:val="18"/>
                <w14:textFill>
                  <w14:solidFill>
                    <w14:schemeClr w14:val="tx1"/>
                  </w14:solidFill>
                </w14:textFill>
              </w:rPr>
            </w:pPr>
            <w:r>
              <w:rPr>
                <w:rFonts w:hint="eastAsia" w:ascii="黑体" w:hAnsi="黑体" w:eastAsia="黑体"/>
                <w:b/>
                <w:bCs/>
                <w:color w:val="000000" w:themeColor="text1"/>
                <w:sz w:val="18"/>
                <w:szCs w:val="18"/>
                <w14:textFill>
                  <w14:solidFill>
                    <w14:schemeClr w14:val="tx1"/>
                  </w14:solidFill>
                </w14:textFill>
              </w:rPr>
              <w:t>（</w:t>
            </w:r>
            <w:r>
              <w:rPr>
                <w:rFonts w:ascii="黑体" w:hAnsi="黑体" w:eastAsia="黑体"/>
                <w:b/>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b/>
                <w:bCs/>
                <w:color w:val="000000" w:themeColor="text1"/>
                <w:sz w:val="18"/>
                <w:szCs w:val="18"/>
                <w14:textFill>
                  <w14:solidFill>
                    <w14:schemeClr w14:val="tx1"/>
                  </w14:solidFill>
                </w14:textFill>
              </w:rPr>
              <w:t>（</w:t>
            </w:r>
            <w:r>
              <w:rPr>
                <w:rFonts w:ascii="黑体" w:hAnsi="黑体" w:eastAsia="黑体"/>
                <w:b/>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【产品投资债权类资产不低于80%，根据当前市场环境下大类资产合理配置比例及大类资产收益情况，考虑杠杆和费率等因素，并结合产品投资策略，设定业绩比较基准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宋体" w:hAnsi="宋体"/>
                <w:bCs/>
                <w:sz w:val="18"/>
                <w:szCs w:val="18"/>
              </w:rPr>
              <w:t>年化【2</w:t>
            </w:r>
            <w:r>
              <w:rPr>
                <w:rFonts w:ascii="宋体" w:hAnsi="宋体"/>
                <w:bCs/>
                <w:sz w:val="18"/>
                <w:szCs w:val="18"/>
              </w:rPr>
              <w:t>.75】</w:t>
            </w:r>
            <w:r>
              <w:rPr>
                <w:rFonts w:hint="eastAsia" w:ascii="宋体" w:hAnsi="宋体"/>
                <w:bCs/>
                <w:sz w:val="18"/>
                <w:szCs w:val="18"/>
              </w:rPr>
              <w:t>%</w:t>
            </w:r>
            <w:r>
              <w:rPr>
                <w:rFonts w:hint="eastAsia" w:hAnsi="宋体"/>
                <w:sz w:val="18"/>
                <w:szCs w:val="18"/>
              </w:rPr>
              <w:t>（适用【C】类份额）</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（适用【C】类份额）</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业绩报酬计提基准：【业绩比较基准】。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jc w:val="left"/>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业绩报酬计提基准仅作为管理人收取超额业绩报酬的参照数值标准，不代表理财产品未来表现，不等于理财产品实际收益，不作为产品收益的业绩保证，投资须谨慎。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【0】。</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.05</w:t>
            </w:r>
            <w:r>
              <w:rPr>
                <w:rFonts w:hint="eastAsia" w:asciiTheme="majorEastAsia" w:hAnsiTheme="majorEastAsia" w:eastAsiaTheme="majorEastAsia"/>
                <w:sz w:val="18"/>
                <w:szCs w:val="18"/>
              </w:rPr>
              <w:t>】%</w:t>
            </w:r>
            <w:r>
              <w:rPr>
                <w:rFonts w:hint="eastAsia" w:hAnsi="宋体"/>
                <w:sz w:val="18"/>
                <w:szCs w:val="18"/>
              </w:rPr>
              <w:t>（适用【C】类份额）</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.05</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.02</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p>
          <w:p>
            <w:pPr>
              <w:widowControl/>
              <w:spacing w:line="360" w:lineRule="auto"/>
              <w:jc w:val="left"/>
              <w:rPr>
                <w:rFonts w:ascii="宋体" w:hAnsi="宋体"/>
                <w:sz w:val="18"/>
                <w:szCs w:val="18"/>
              </w:rPr>
            </w:pPr>
            <w:r>
              <w:rPr>
                <w:rFonts w:hint="eastAsia" w:ascii="宋体" w:hAnsi="宋体"/>
                <w:sz w:val="18"/>
                <w:szCs w:val="18"/>
              </w:rPr>
              <w:t>每份产品份额在超额业绩报酬计提日时，若理财资产扣除销售服务费、产品托管费和投资管理费等相关费用后，超额业绩报酬计提日产品份额净值折算的年化收益率超过业绩报酬计提基准，则产品管理人收取超出部分的【5</w:t>
            </w:r>
            <w:r>
              <w:rPr>
                <w:rFonts w:ascii="宋体" w:hAnsi="宋体"/>
                <w:sz w:val="18"/>
                <w:szCs w:val="18"/>
              </w:rPr>
              <w:t>0</w:t>
            </w:r>
            <w:r>
              <w:rPr>
                <w:rFonts w:hint="eastAsia" w:ascii="宋体" w:hAnsi="宋体"/>
                <w:sz w:val="18"/>
                <w:szCs w:val="18"/>
              </w:rPr>
              <w:t>】%作为超额业绩报酬。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0" w:name="_Toc79154666"/>
      <w:bookmarkStart w:id="71" w:name="_Toc116649651"/>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8"/>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kern w:val="0"/>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kern w:val="0"/>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kern w:val="0"/>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kern w:val="0"/>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kern w:val="0"/>
                <w:sz w:val="18"/>
                <w:szCs w:val="18"/>
              </w:rPr>
            </w:pPr>
            <w:r>
              <w:rPr>
                <w:rFonts w:hint="eastAsia" w:cs="Times New Roman" w:asciiTheme="minorEastAsia" w:hAnsiTheme="minorEastAsia"/>
                <w:bCs/>
                <w:kern w:val="0"/>
                <w:sz w:val="18"/>
                <w:szCs w:val="18"/>
              </w:rPr>
              <w:t>产品成立日</w:t>
            </w:r>
          </w:p>
        </w:tc>
      </w:tr>
    </w:tbl>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投资者认购资金在产品认购期内按照活期存款利率计息，但在产品认购期所产生的利息不作为理财资金进入理财运作，不计算理财利益。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72"/>
    <w:bookmarkEnd w:id="74"/>
    <w:p>
      <w:pPr>
        <w:pStyle w:val="2"/>
        <w:spacing w:before="0" w:after="0" w:line="360" w:lineRule="auto"/>
        <w:jc w:val="center"/>
        <w:rPr>
          <w:rFonts w:ascii="Times New Roman"/>
          <w:sz w:val="30"/>
        </w:rPr>
      </w:pPr>
      <w:bookmarkStart w:id="75" w:name="_Toc4771"/>
      <w:bookmarkStart w:id="76" w:name="_Toc116649652"/>
      <w:bookmarkStart w:id="77" w:name="_Toc27189"/>
      <w:bookmarkStart w:id="78" w:name="_Toc29784"/>
      <w:bookmarkStart w:id="79" w:name="_Toc22074"/>
      <w:bookmarkStart w:id="80" w:name="_Toc6714"/>
      <w:bookmarkStart w:id="81" w:name="_Toc90742688"/>
      <w:bookmarkStart w:id="82" w:name="_Toc29948"/>
      <w:bookmarkStart w:id="83" w:name="_Toc90742321"/>
      <w:bookmarkStart w:id="84" w:name="_Toc27226"/>
      <w:bookmarkStart w:id="85" w:name="_Toc3266"/>
      <w:bookmarkStart w:id="86" w:name="_Toc7151"/>
      <w:bookmarkStart w:id="87" w:name="_Toc79154668"/>
      <w:bookmarkStart w:id="88" w:name="_Toc74065741"/>
      <w:bookmarkStart w:id="89" w:name="_Toc15203"/>
      <w:bookmarkStart w:id="90" w:name="_Toc16265"/>
      <w:bookmarkStart w:id="91" w:name="_Toc90742390"/>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75"/>
      <w:bookmarkEnd w:id="76"/>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2"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1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（3）国债期货、利率互换、债券借贷、信用风险缓释工具等；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5</w:t>
      </w:r>
      <w:r>
        <w:rPr>
          <w:rFonts w:hint="eastAsia" w:asciiTheme="majorEastAsia" w:hAnsiTheme="majorEastAsia" w:eastAsiaTheme="majorEastAsia"/>
          <w:bCs/>
          <w:kern w:val="0"/>
          <w:sz w:val="18"/>
          <w:szCs w:val="18"/>
        </w:rPr>
        <w:t>）其他风险不高于前述资产的资产。】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【（1）本产品投资于债权类资产的比例不低于产品总资产的80%。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（2）以套期保值、风险对冲为目的的国债期货、利率互换、信用风险缓释工具等衍生品占产品总资产比例低于10%。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（3）投资于同业存单及存款类资产的比例不低于产品净资产的50%。</w:t>
      </w:r>
    </w:p>
    <w:p>
      <w:pPr>
        <w:autoSpaceDE w:val="0"/>
        <w:autoSpaceDN w:val="0"/>
        <w:adjustRightInd w:val="0"/>
        <w:spacing w:line="360" w:lineRule="auto"/>
        <w:ind w:firstLine="361" w:firstLineChars="200"/>
        <w:jc w:val="left"/>
        <w:rPr>
          <w:rFonts w:asciiTheme="majorEastAsia" w:hAnsiTheme="majorEastAsia" w:eastAsiaTheme="majorEastAsia"/>
          <w:b/>
          <w:bCs/>
          <w:kern w:val="0"/>
          <w:sz w:val="18"/>
          <w:szCs w:val="18"/>
        </w:rPr>
      </w:pPr>
      <w:r>
        <w:rPr>
          <w:rFonts w:asciiTheme="majorEastAsia" w:hAnsiTheme="majorEastAsia" w:eastAsiaTheme="majorEastAsia"/>
          <w:b/>
          <w:bCs/>
          <w:kern w:val="0"/>
          <w:sz w:val="18"/>
          <w:szCs w:val="18"/>
        </w:rPr>
        <w:t>注：本产品可能投资不存在活跃交易市场，并且需要采用估值技术确定公允价值的资产，且投资上 述资产的比例达到理财产品净资产50%以上。</w:t>
      </w:r>
      <w:r>
        <w:rPr>
          <w:rFonts w:hint="eastAsia" w:asciiTheme="majorEastAsia" w:hAnsiTheme="majorEastAsia" w:eastAsiaTheme="majorEastAsia"/>
          <w:bCs/>
          <w:kern w:val="0"/>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1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（4）全部开放式公募理财产品投资单一上市公司发行的股票不得超过该上市公司可流通股票的15%。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（6）本产品投资于信用债券、银行存款融资人的信用评级均不得低于AA+。</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4"/>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【产品采取绝对收益策略，追求资产长期稳定增值。】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3" w:name="_Toc7848"/>
      <w:bookmarkStart w:id="94" w:name="_Toc79154669"/>
      <w:bookmarkStart w:id="95" w:name="_Toc26986"/>
      <w:bookmarkStart w:id="96" w:name="_Toc17912"/>
      <w:bookmarkStart w:id="97" w:name="_Toc74065742"/>
      <w:bookmarkStart w:id="98" w:name="_Toc139991735"/>
      <w:bookmarkStart w:id="99" w:name="_Toc18797"/>
      <w:bookmarkStart w:id="100" w:name="_Toc116649654"/>
      <w:bookmarkStart w:id="101" w:name="_Toc141703885"/>
      <w:bookmarkStart w:id="102" w:name="_Toc21988"/>
      <w:bookmarkStart w:id="103" w:name="_Toc1823"/>
      <w:bookmarkStart w:id="104" w:name="_Toc14893"/>
      <w:bookmarkStart w:id="105" w:name="_Toc4741"/>
      <w:bookmarkStart w:id="106" w:name="_Toc18526"/>
      <w:bookmarkStart w:id="107" w:name="_Toc18329"/>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14"/>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line="360" w:lineRule="auto"/>
        <w:jc w:val="center"/>
        <w:rPr>
          <w:rFonts w:ascii="Times New Roman"/>
          <w:sz w:val="30"/>
        </w:rPr>
      </w:pPr>
      <w:bookmarkStart w:id="109" w:name="_Toc1427"/>
      <w:bookmarkStart w:id="110" w:name="_Toc123112234"/>
      <w:bookmarkStart w:id="111" w:name="_Toc139991736"/>
      <w:bookmarkStart w:id="112" w:name="_Toc23261"/>
      <w:bookmarkStart w:id="113" w:name="_Toc123051452"/>
      <w:bookmarkStart w:id="114" w:name="_Toc48649707"/>
      <w:bookmarkStart w:id="115" w:name="_Toc7920"/>
      <w:bookmarkStart w:id="116" w:name="_Toc20733"/>
      <w:bookmarkStart w:id="117" w:name="_Toc1270"/>
      <w:bookmarkStart w:id="118" w:name="_Toc23822"/>
      <w:bookmarkStart w:id="119" w:name="_Toc79392606"/>
      <w:bookmarkStart w:id="120" w:name="_Toc123102453"/>
      <w:bookmarkStart w:id="121" w:name="_Toc610"/>
      <w:bookmarkStart w:id="122" w:name="_Toc116649655"/>
      <w:bookmarkStart w:id="123" w:name="_Toc4003"/>
      <w:bookmarkStart w:id="124" w:name="_Toc79154670"/>
      <w:bookmarkStart w:id="125" w:name="_Toc10463"/>
      <w:bookmarkStart w:id="126" w:name="_Toc17244"/>
      <w:bookmarkStart w:id="127" w:name="_Toc98560352"/>
      <w:bookmarkStart w:id="128" w:name="_Toc74065743"/>
      <w:bookmarkStart w:id="129" w:name="_Toc141703886"/>
      <w:bookmarkStart w:id="130" w:name="_Toc116649660"/>
      <w:bookmarkStart w:id="131" w:name="_Toc79154675"/>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1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4"/>
        <w:spacing w:line="360" w:lineRule="auto"/>
        <w:ind w:firstLine="361" w:firstLineChars="200"/>
        <w:rPr>
          <w:rFonts w:hAnsi="宋体"/>
          <w:b/>
          <w:bCs/>
          <w:sz w:val="18"/>
          <w:szCs w:val="18"/>
        </w:rPr>
      </w:pPr>
      <w:r>
        <w:rPr>
          <w:rFonts w:hint="eastAsia" w:hAnsi="宋体"/>
          <w:b/>
          <w:bCs/>
          <w:sz w:val="18"/>
          <w:szCs w:val="18"/>
        </w:rPr>
        <w:t>（一）估值目的</w:t>
      </w:r>
    </w:p>
    <w:p>
      <w:pPr>
        <w:pStyle w:val="1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14"/>
        <w:spacing w:line="360" w:lineRule="auto"/>
        <w:ind w:firstLine="361" w:firstLineChars="200"/>
        <w:rPr>
          <w:rFonts w:hAnsi="宋体"/>
          <w:b/>
          <w:bCs/>
          <w:sz w:val="18"/>
          <w:szCs w:val="18"/>
        </w:rPr>
      </w:pPr>
      <w:r>
        <w:rPr>
          <w:rFonts w:hint="eastAsia" w:hAnsi="宋体"/>
          <w:b/>
          <w:bCs/>
          <w:sz w:val="18"/>
          <w:szCs w:val="18"/>
        </w:rPr>
        <w:t>（二）估值频率</w:t>
      </w:r>
    </w:p>
    <w:p>
      <w:pPr>
        <w:pStyle w:val="14"/>
        <w:spacing w:line="360" w:lineRule="auto"/>
        <w:ind w:firstLine="450" w:firstLineChars="250"/>
        <w:rPr>
          <w:sz w:val="18"/>
          <w:szCs w:val="18"/>
        </w:rPr>
      </w:pPr>
      <w:permStart w:id="29" w:edGrp="everyone"/>
      <w:r>
        <w:rPr>
          <w:rFonts w:hint="eastAsia" w:hAnsi="宋体"/>
          <w:sz w:val="18"/>
          <w:szCs w:val="18"/>
        </w:rPr>
        <w:t>本产品存续期间，每【周】进行一次估值。如遇产品到期日、季度末、半年度末、年度末等时间节点管理人将增加估值日。</w:t>
      </w:r>
    </w:p>
    <w:permEnd w:id="29"/>
    <w:p>
      <w:pPr>
        <w:pStyle w:val="14"/>
        <w:spacing w:line="360" w:lineRule="auto"/>
        <w:ind w:firstLine="452" w:firstLineChars="250"/>
        <w:rPr>
          <w:rFonts w:hAnsi="宋体"/>
          <w:b/>
          <w:bCs/>
          <w:sz w:val="18"/>
          <w:szCs w:val="18"/>
        </w:rPr>
      </w:pPr>
      <w:r>
        <w:rPr>
          <w:rFonts w:hint="eastAsia" w:hAnsi="宋体"/>
          <w:b/>
          <w:bCs/>
          <w:sz w:val="18"/>
          <w:szCs w:val="18"/>
        </w:rPr>
        <w:t>（三）估值对象</w:t>
      </w:r>
    </w:p>
    <w:p>
      <w:pPr>
        <w:pStyle w:val="1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14"/>
        <w:spacing w:line="360" w:lineRule="auto"/>
        <w:ind w:firstLine="452" w:firstLineChars="250"/>
        <w:rPr>
          <w:rFonts w:hAnsi="宋体"/>
          <w:b/>
          <w:bCs/>
          <w:sz w:val="18"/>
          <w:szCs w:val="18"/>
        </w:rPr>
      </w:pPr>
      <w:r>
        <w:rPr>
          <w:rFonts w:hint="eastAsia" w:hAnsi="宋体"/>
          <w:b/>
          <w:bCs/>
          <w:sz w:val="18"/>
          <w:szCs w:val="18"/>
        </w:rPr>
        <w:t>（四）估值方法</w:t>
      </w:r>
    </w:p>
    <w:p>
      <w:pPr>
        <w:pStyle w:val="1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1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1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1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1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1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1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1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1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1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1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1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1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1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1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1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1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14"/>
        <w:spacing w:line="360" w:lineRule="auto"/>
        <w:ind w:firstLine="360" w:firstLineChars="200"/>
        <w:rPr>
          <w:rFonts w:hAnsi="宋体"/>
          <w:sz w:val="18"/>
          <w:szCs w:val="18"/>
        </w:rPr>
      </w:pPr>
      <w:r>
        <w:rPr>
          <w:rFonts w:hint="eastAsia" w:hAnsi="宋体"/>
          <w:sz w:val="18"/>
          <w:szCs w:val="18"/>
        </w:rPr>
        <w:t>（1）非上市基金估值</w:t>
      </w:r>
    </w:p>
    <w:p>
      <w:pPr>
        <w:pStyle w:val="1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14"/>
        <w:spacing w:line="360" w:lineRule="auto"/>
        <w:ind w:firstLine="360" w:firstLineChars="200"/>
        <w:rPr>
          <w:rFonts w:hAnsi="宋体"/>
          <w:sz w:val="18"/>
          <w:szCs w:val="18"/>
        </w:rPr>
      </w:pPr>
      <w:r>
        <w:rPr>
          <w:rFonts w:hint="eastAsia" w:hAnsi="宋体"/>
          <w:sz w:val="18"/>
          <w:szCs w:val="18"/>
        </w:rPr>
        <w:t>（2）上市基金估值</w:t>
      </w:r>
    </w:p>
    <w:p>
      <w:pPr>
        <w:pStyle w:val="1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1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1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1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1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1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1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1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14"/>
        <w:spacing w:line="360" w:lineRule="auto"/>
        <w:ind w:firstLine="361" w:firstLineChars="200"/>
        <w:rPr>
          <w:rFonts w:hAnsi="宋体"/>
          <w:b/>
          <w:bCs/>
          <w:sz w:val="18"/>
          <w:szCs w:val="18"/>
        </w:rPr>
      </w:pPr>
      <w:r>
        <w:rPr>
          <w:rFonts w:hint="eastAsia" w:hAnsi="宋体"/>
          <w:b/>
          <w:bCs/>
          <w:sz w:val="18"/>
          <w:szCs w:val="18"/>
        </w:rPr>
        <w:t>（五）估值程序</w:t>
      </w:r>
    </w:p>
    <w:p>
      <w:pPr>
        <w:pStyle w:val="1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1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1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14"/>
        <w:spacing w:line="360" w:lineRule="auto"/>
        <w:ind w:firstLine="361" w:firstLineChars="200"/>
        <w:rPr>
          <w:rFonts w:hAnsi="宋体"/>
          <w:b/>
          <w:bCs/>
          <w:sz w:val="18"/>
          <w:szCs w:val="18"/>
        </w:rPr>
      </w:pPr>
      <w:r>
        <w:rPr>
          <w:rFonts w:hint="eastAsia" w:hAnsi="宋体"/>
          <w:b/>
          <w:bCs/>
          <w:sz w:val="18"/>
          <w:szCs w:val="18"/>
        </w:rPr>
        <w:t>（六）估值主体</w:t>
      </w:r>
    </w:p>
    <w:p>
      <w:pPr>
        <w:pStyle w:val="1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132" w:name="_Hlt70481650"/>
      <w:bookmarkEnd w:id="132"/>
      <w:bookmarkStart w:id="133" w:name="_Toc79154671"/>
      <w:bookmarkStart w:id="134" w:name="_Toc74065744"/>
      <w:bookmarkStart w:id="135" w:name="_Toc6405"/>
      <w:bookmarkStart w:id="136" w:name="_Toc123112235"/>
      <w:bookmarkStart w:id="137" w:name="_Toc123051453"/>
      <w:bookmarkStart w:id="138" w:name="_Toc31235"/>
      <w:bookmarkStart w:id="139" w:name="_Toc29251"/>
      <w:bookmarkStart w:id="140" w:name="_Toc141703887"/>
      <w:bookmarkStart w:id="141" w:name="_Toc26207"/>
      <w:bookmarkStart w:id="142" w:name="_Toc123102454"/>
      <w:bookmarkStart w:id="143" w:name="_Toc98560353"/>
      <w:bookmarkStart w:id="144" w:name="_Toc15143"/>
      <w:bookmarkStart w:id="145" w:name="_Toc116649656"/>
      <w:bookmarkStart w:id="146" w:name="_Toc14835"/>
      <w:bookmarkStart w:id="147" w:name="_Toc31644"/>
      <w:bookmarkStart w:id="148" w:name="_Toc12245"/>
      <w:bookmarkStart w:id="149" w:name="_Toc31653"/>
      <w:bookmarkStart w:id="150" w:name="_Toc139991737"/>
      <w:bookmarkStart w:id="151" w:name="_Toc3601"/>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Start w:id="152" w:name="_Hlt55355235"/>
      <w:bookmarkEnd w:id="152"/>
      <w:bookmarkStart w:id="153" w:name="_Toc57530239"/>
      <w:bookmarkStart w:id="154" w:name="_Toc79392580"/>
      <w:bookmarkStart w:id="155" w:name="_Toc15118234"/>
      <w:bookmarkStart w:id="156" w:name="_Toc523711668"/>
    </w:p>
    <w:p>
      <w:pPr>
        <w:pStyle w:val="1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4"/>
        <w:spacing w:line="360" w:lineRule="auto"/>
        <w:ind w:firstLine="361" w:firstLineChars="200"/>
        <w:rPr>
          <w:rFonts w:hAnsi="宋体"/>
          <w:b/>
          <w:bCs/>
          <w:color w:val="auto"/>
          <w:sz w:val="18"/>
          <w:szCs w:val="18"/>
        </w:rPr>
      </w:pPr>
      <w:permStart w:id="30" w:edGrp="everyone"/>
      <w:r>
        <w:rPr>
          <w:rFonts w:hint="eastAsia" w:hAnsi="宋体"/>
          <w:b/>
          <w:bCs/>
          <w:color w:val="auto"/>
          <w:sz w:val="18"/>
          <w:szCs w:val="18"/>
        </w:rPr>
        <w:t>1.分配方案要点：</w:t>
      </w:r>
    </w:p>
    <w:p>
      <w:pPr>
        <w:pStyle w:val="1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3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4"/>
        <w:spacing w:line="360" w:lineRule="auto"/>
        <w:ind w:firstLine="360" w:firstLineChars="200"/>
        <w:rPr>
          <w:rFonts w:hAnsi="宋体"/>
          <w:color w:val="auto"/>
          <w:sz w:val="18"/>
          <w:szCs w:val="18"/>
        </w:rPr>
      </w:pPr>
      <w:permStart w:id="31" w:edGrp="everyone"/>
      <w:r>
        <w:rPr>
          <w:rFonts w:hint="eastAsia" w:hAnsi="宋体"/>
          <w:color w:val="auto"/>
          <w:sz w:val="18"/>
          <w:szCs w:val="18"/>
        </w:rPr>
        <w:t>1.理财利益的分配日</w:t>
      </w:r>
    </w:p>
    <w:p>
      <w:pPr>
        <w:pStyle w:val="1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1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31"/>
    <w:p>
      <w:pPr>
        <w:widowControl/>
        <w:spacing w:line="360" w:lineRule="auto"/>
        <w:jc w:val="left"/>
        <w:rPr>
          <w:rFonts w:ascii="宋体" w:hAnsi="宋体"/>
          <w:kern w:val="0"/>
          <w:sz w:val="18"/>
          <w:szCs w:val="18"/>
        </w:rPr>
      </w:pPr>
      <w:r>
        <w:rPr>
          <w:rFonts w:hAnsi="宋体"/>
          <w:sz w:val="18"/>
          <w:szCs w:val="18"/>
        </w:rPr>
        <w:br w:type="page"/>
      </w:r>
    </w:p>
    <w:bookmarkEnd w:id="153"/>
    <w:bookmarkEnd w:id="154"/>
    <w:bookmarkEnd w:id="155"/>
    <w:bookmarkEnd w:id="156"/>
    <w:p>
      <w:pPr>
        <w:pStyle w:val="2"/>
        <w:spacing w:before="0" w:after="0" w:line="360" w:lineRule="auto"/>
        <w:jc w:val="center"/>
        <w:rPr>
          <w:rFonts w:ascii="Times New Roman"/>
          <w:sz w:val="30"/>
        </w:rPr>
      </w:pPr>
      <w:bookmarkStart w:id="157" w:name="_Hlt88825574"/>
      <w:bookmarkEnd w:id="157"/>
      <w:bookmarkStart w:id="158" w:name="_Hlt88897298"/>
      <w:bookmarkEnd w:id="158"/>
      <w:bookmarkStart w:id="159" w:name="_Toc18567"/>
      <w:bookmarkStart w:id="160" w:name="_Toc25783"/>
      <w:bookmarkStart w:id="161" w:name="_Toc139991738"/>
      <w:bookmarkStart w:id="162" w:name="_Toc11030"/>
      <w:bookmarkStart w:id="163" w:name="_Toc116649657"/>
      <w:bookmarkStart w:id="164" w:name="_Toc123051454"/>
      <w:bookmarkStart w:id="165" w:name="_Toc3321"/>
      <w:bookmarkStart w:id="166" w:name="_Toc10650"/>
      <w:bookmarkStart w:id="167" w:name="_Toc3771"/>
      <w:bookmarkStart w:id="168" w:name="_Toc9706"/>
      <w:bookmarkStart w:id="169" w:name="_Toc123102455"/>
      <w:bookmarkStart w:id="170" w:name="_Toc79392583"/>
      <w:bookmarkStart w:id="171" w:name="_Toc7058"/>
      <w:bookmarkStart w:id="172" w:name="_Toc6447"/>
      <w:bookmarkStart w:id="173" w:name="_Toc98560354"/>
      <w:bookmarkStart w:id="174" w:name="_Toc123112236"/>
      <w:bookmarkStart w:id="175" w:name="_Toc4559"/>
      <w:bookmarkStart w:id="176" w:name="_Toc141703888"/>
      <w:bookmarkStart w:id="177" w:name="_Toc79154672"/>
      <w:bookmarkStart w:id="178" w:name="_Toc7406574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3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3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79" w:name="_Toc1745"/>
      <w:bookmarkStart w:id="180" w:name="_Toc3963"/>
      <w:r>
        <w:br w:type="page"/>
      </w:r>
      <w:bookmarkStart w:id="181" w:name="_Toc98560355"/>
      <w:bookmarkStart w:id="182" w:name="_Toc123102456"/>
      <w:bookmarkStart w:id="183" w:name="_Toc10398"/>
      <w:bookmarkStart w:id="184" w:name="_Toc3572"/>
      <w:bookmarkStart w:id="185" w:name="_Toc18206"/>
      <w:bookmarkStart w:id="186" w:name="_Toc725"/>
      <w:bookmarkStart w:id="187" w:name="_Toc3080"/>
      <w:bookmarkStart w:id="188" w:name="_Toc74065746"/>
      <w:bookmarkStart w:id="189" w:name="_Toc21735"/>
      <w:bookmarkStart w:id="190" w:name="_Toc123051455"/>
      <w:bookmarkStart w:id="191" w:name="_Toc139991739"/>
      <w:bookmarkStart w:id="192" w:name="_Toc123112237"/>
      <w:bookmarkStart w:id="193" w:name="_Toc116649658"/>
      <w:bookmarkStart w:id="194" w:name="_Toc79154673"/>
      <w:bookmarkStart w:id="195" w:name="_Toc16164"/>
      <w:bookmarkStart w:id="196" w:name="_Toc31821"/>
      <w:bookmarkStart w:id="197" w:name="_Toc141703889"/>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spacing w:line="360" w:lineRule="auto"/>
        <w:ind w:firstLine="361" w:firstLineChars="200"/>
        <w:rPr>
          <w:rFonts w:asciiTheme="majorEastAsia" w:hAnsiTheme="majorEastAsia" w:eastAsiaTheme="majorEastAsia"/>
          <w:b/>
          <w:bCs/>
          <w:sz w:val="18"/>
          <w:szCs w:val="18"/>
        </w:rPr>
      </w:pPr>
      <w:bookmarkStart w:id="198" w:name="_Toc79392593"/>
      <w:bookmarkStart w:id="199" w:name="_Toc15118245"/>
      <w:bookmarkStart w:id="200"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98"/>
    <w:bookmarkEnd w:id="199"/>
    <w:bookmarkEnd w:id="200"/>
    <w:p>
      <w:pPr>
        <w:pStyle w:val="2"/>
        <w:spacing w:before="0" w:after="0" w:line="360" w:lineRule="auto"/>
        <w:jc w:val="center"/>
        <w:rPr>
          <w:rFonts w:ascii="Times New Roman"/>
          <w:sz w:val="30"/>
        </w:rPr>
      </w:pPr>
      <w:r>
        <w:rPr>
          <w:rFonts w:ascii="Times New Roman"/>
          <w:b w:val="0"/>
          <w:bCs w:val="0"/>
          <w:kern w:val="2"/>
        </w:rPr>
        <w:br w:type="page"/>
      </w:r>
      <w:bookmarkStart w:id="201" w:name="_Toc17920"/>
      <w:bookmarkStart w:id="202" w:name="_Toc123051456"/>
      <w:bookmarkStart w:id="203" w:name="_Toc141703890"/>
      <w:bookmarkStart w:id="204" w:name="_Toc739"/>
      <w:bookmarkStart w:id="205" w:name="_Toc32092"/>
      <w:bookmarkStart w:id="206" w:name="_Toc116649659"/>
      <w:bookmarkStart w:id="207" w:name="_Toc123102457"/>
      <w:bookmarkStart w:id="208" w:name="_Toc48649708"/>
      <w:bookmarkStart w:id="209" w:name="_Toc123112238"/>
      <w:bookmarkStart w:id="210" w:name="_Toc21237"/>
      <w:bookmarkStart w:id="211" w:name="_Toc139991740"/>
      <w:bookmarkStart w:id="212" w:name="_Toc74065747"/>
      <w:bookmarkStart w:id="213" w:name="_Toc79392622"/>
      <w:bookmarkStart w:id="214" w:name="_Toc79154674"/>
      <w:bookmarkStart w:id="215" w:name="_Toc98560356"/>
      <w:bookmarkStart w:id="216" w:name="_Toc32584"/>
      <w:bookmarkStart w:id="217" w:name="_Toc29408"/>
      <w:bookmarkStart w:id="218" w:name="_Toc17198"/>
      <w:bookmarkStart w:id="219" w:name="_Toc5170"/>
      <w:bookmarkStart w:id="220" w:name="_Toc3329"/>
      <w:bookmarkStart w:id="221" w:name="_Toc8791"/>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3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3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jc w:val="left"/>
        <w:rPr>
          <w:rFonts w:ascii="Times New Roman"/>
          <w:b/>
          <w:bCs/>
          <w:kern w:val="44"/>
          <w:sz w:val="30"/>
          <w:szCs w:val="44"/>
        </w:rPr>
      </w:pPr>
      <w:r>
        <w:rPr>
          <w:rFonts w:ascii="Times New Roman"/>
          <w:sz w:val="30"/>
        </w:rPr>
        <w:br w:type="page"/>
      </w:r>
    </w:p>
    <w:p>
      <w:pPr>
        <w:pStyle w:val="2"/>
        <w:spacing w:before="0" w:after="0" w:line="360" w:lineRule="auto"/>
        <w:jc w:val="center"/>
        <w:rPr>
          <w:rFonts w:ascii="Times New Roman"/>
          <w:b w:val="0"/>
          <w:sz w:val="30"/>
        </w:rPr>
      </w:pPr>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30"/>
      <w:bookmarkEnd w:id="13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
      <w:pPr>
        <w:pStyle w:val="12"/>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5.★</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14"/>
        <w:spacing w:line="360" w:lineRule="auto"/>
        <w:rPr>
          <w:rFonts w:hAnsi="宋体"/>
          <w:sz w:val="18"/>
          <w:szCs w:val="18"/>
        </w:rPr>
      </w:pPr>
    </w:p>
    <w:p>
      <w:pPr>
        <w:widowControl/>
        <w:jc w:val="left"/>
      </w:pPr>
      <w:r>
        <w:br w:type="page"/>
      </w:r>
    </w:p>
    <w:tbl>
      <w:tblPr>
        <w:tblStyle w:val="8"/>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
        <w:gridCol w:w="76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522" w:type="dxa"/>
            <w:gridSpan w:val="2"/>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360" w:lineRule="auto"/>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82" w:type="dxa"/>
          </w:tcPr>
          <w:p>
            <w:pPr>
              <w:spacing w:line="360" w:lineRule="auto"/>
              <w:rPr>
                <w:b/>
                <w:kern w:val="0"/>
                <w:sz w:val="18"/>
                <w:szCs w:val="18"/>
              </w:rPr>
            </w:pPr>
            <w:r>
              <w:rPr>
                <w:rFonts w:hint="eastAsia"/>
                <w:b/>
                <w:kern w:val="0"/>
                <w:sz w:val="18"/>
                <w:szCs w:val="18"/>
              </w:rPr>
              <w:t>个人投资者适用</w:t>
            </w:r>
          </w:p>
        </w:tc>
        <w:tc>
          <w:tcPr>
            <w:tcW w:w="7640" w:type="dxa"/>
          </w:tcPr>
          <w:p>
            <w:pPr>
              <w:spacing w:line="360" w:lineRule="auto"/>
              <w:rPr>
                <w:kern w:val="0"/>
                <w:sz w:val="18"/>
                <w:szCs w:val="18"/>
              </w:rPr>
            </w:pPr>
            <w:r>
              <w:rPr>
                <w:rFonts w:hint="eastAsia"/>
                <w:kern w:val="0"/>
                <w:sz w:val="18"/>
                <w:szCs w:val="18"/>
              </w:rPr>
              <w:t>投资者（签字）：</w:t>
            </w:r>
          </w:p>
          <w:p>
            <w:pPr>
              <w:spacing w:line="360" w:lineRule="auto"/>
              <w:rPr>
                <w:b/>
                <w:kern w:val="0"/>
                <w:sz w:val="18"/>
                <w:szCs w:val="18"/>
              </w:rPr>
            </w:pPr>
          </w:p>
          <w:p>
            <w:pPr>
              <w:spacing w:line="360" w:lineRule="auto"/>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82" w:type="dxa"/>
          </w:tcPr>
          <w:p>
            <w:pPr>
              <w:spacing w:line="360" w:lineRule="auto"/>
              <w:rPr>
                <w:b/>
                <w:kern w:val="0"/>
                <w:sz w:val="18"/>
                <w:szCs w:val="18"/>
              </w:rPr>
            </w:pPr>
            <w:r>
              <w:rPr>
                <w:rFonts w:hint="eastAsia"/>
                <w:b/>
                <w:kern w:val="0"/>
                <w:sz w:val="18"/>
                <w:szCs w:val="18"/>
              </w:rPr>
              <w:t>机构投资者适用</w:t>
            </w:r>
          </w:p>
        </w:tc>
        <w:tc>
          <w:tcPr>
            <w:tcW w:w="7640" w:type="dxa"/>
          </w:tcPr>
          <w:p>
            <w:pPr>
              <w:spacing w:line="360" w:lineRule="auto"/>
              <w:rPr>
                <w:rFonts w:cs="Arial"/>
                <w:kern w:val="0"/>
                <w:sz w:val="18"/>
                <w:szCs w:val="18"/>
              </w:rPr>
            </w:pPr>
            <w:r>
              <w:rPr>
                <w:rFonts w:hint="eastAsia"/>
                <w:kern w:val="0"/>
                <w:sz w:val="18"/>
                <w:szCs w:val="18"/>
              </w:rPr>
              <w:t>投资者</w:t>
            </w:r>
            <w:r>
              <w:rPr>
                <w:rFonts w:hint="eastAsia" w:cs="Arial"/>
                <w:kern w:val="0"/>
                <w:sz w:val="18"/>
                <w:szCs w:val="18"/>
              </w:rPr>
              <w:t>（盖章）：</w:t>
            </w:r>
          </w:p>
          <w:p>
            <w:pPr>
              <w:spacing w:line="360" w:lineRule="auto"/>
              <w:rPr>
                <w:rFonts w:cs="Arial"/>
                <w:kern w:val="0"/>
                <w:sz w:val="18"/>
                <w:szCs w:val="18"/>
              </w:rPr>
            </w:pPr>
          </w:p>
          <w:p>
            <w:pPr>
              <w:spacing w:line="360" w:lineRule="auto"/>
              <w:rPr>
                <w:rFonts w:cs="Arial"/>
                <w:kern w:val="0"/>
                <w:sz w:val="18"/>
                <w:szCs w:val="18"/>
              </w:rPr>
            </w:pPr>
            <w:r>
              <w:rPr>
                <w:rFonts w:hint="eastAsia" w:cs="Arial"/>
                <w:kern w:val="0"/>
                <w:sz w:val="18"/>
                <w:szCs w:val="18"/>
              </w:rPr>
              <w:t>投资者法定代表人或授权代理人（签字或盖章）：</w:t>
            </w:r>
          </w:p>
          <w:p>
            <w:pPr>
              <w:spacing w:line="360" w:lineRule="auto"/>
              <w:rPr>
                <w:b/>
                <w:kern w:val="0"/>
                <w:sz w:val="18"/>
                <w:szCs w:val="18"/>
              </w:rPr>
            </w:pPr>
          </w:p>
          <w:p>
            <w:pPr>
              <w:spacing w:line="360" w:lineRule="auto"/>
              <w:rPr>
                <w:kern w:val="0"/>
                <w:sz w:val="18"/>
                <w:szCs w:val="18"/>
              </w:rPr>
            </w:pPr>
            <w:r>
              <w:rPr>
                <w:rFonts w:hint="eastAsia"/>
                <w:kern w:val="0"/>
                <w:sz w:val="18"/>
                <w:szCs w:val="18"/>
              </w:rPr>
              <w:t>日期：</w:t>
            </w:r>
          </w:p>
        </w:tc>
      </w:tr>
    </w:tbl>
    <w:p>
      <w:pPr>
        <w:spacing w:line="360" w:lineRule="auto"/>
        <w:ind w:firstLine="361" w:firstLineChars="200"/>
        <w:rPr>
          <w:rFonts w:ascii="黑体" w:hAnsi="黑体" w:eastAsia="黑体"/>
          <w:sz w:val="18"/>
          <w:szCs w:val="18"/>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Pr>
        <w:pStyle w:val="2"/>
        <w:spacing w:before="0" w:after="0" w:line="360" w:lineRule="auto"/>
        <w:jc w:val="center"/>
      </w:pPr>
    </w:p>
    <w:p>
      <w:pPr>
        <w:spacing w:line="360" w:lineRule="auto"/>
        <w:jc w:val="left"/>
        <w:rPr>
          <w:rFonts w:hint="eastAsia" w:ascii="宋体" w:hAnsi="宋体"/>
          <w:b/>
          <w:sz w:val="18"/>
          <w:szCs w:val="18"/>
        </w:rPr>
        <w:sectPr>
          <w:headerReference r:id="rId9" w:type="default"/>
          <w:footerReference r:id="rId10" w:type="default"/>
          <w:pgSz w:w="11906" w:h="16838"/>
          <w:pgMar w:top="1276" w:right="1800" w:bottom="1418" w:left="1800" w:header="567" w:footer="964" w:gutter="0"/>
          <w:pgNumType w:start="1"/>
          <w:cols w:space="425" w:num="1"/>
          <w:docGrid w:type="lines" w:linePitch="312" w:charSpace="0"/>
        </w:sectPr>
      </w:pPr>
    </w:p>
    <w:p>
      <w:pPr>
        <w:widowControl/>
        <w:spacing w:before="156"/>
        <w:jc w:val="center"/>
        <w:rPr>
          <w:rFonts w:ascii="黑体" w:hAnsi="黑体" w:eastAsia="黑体"/>
          <w:b/>
          <w:bCs/>
          <w:sz w:val="28"/>
          <w:szCs w:val="28"/>
        </w:rPr>
      </w:pPr>
      <w:r>
        <w:rPr>
          <w:rFonts w:hint="eastAsia" w:ascii="黑体" w:hAnsi="黑体" w:eastAsia="黑体"/>
          <w:b/>
          <w:bCs/>
          <w:sz w:val="28"/>
          <w:szCs w:val="28"/>
        </w:rPr>
        <w:t>兴银理财【稳利安盈封闭式】理财产品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7"/>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4"/>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14"/>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4"/>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4"/>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w:t>
      </w:r>
      <w:r>
        <w:rPr>
          <w:rFonts w:hint="eastAsia" w:ascii="宋体" w:hAnsi="宋体" w:cs="仿宋_GB2312"/>
          <w:kern w:val="0"/>
          <w:sz w:val="18"/>
          <w:szCs w:val="18"/>
          <w:lang w:val="en-US" w:eastAsia="zh-CN"/>
        </w:rPr>
        <w:t>根据理财产品投资范围、风险收益特点、流动性等不同因素，乙方作为销售机构将理财产品分为</w:t>
      </w:r>
      <w:r>
        <w:rPr>
          <w:rFonts w:hint="eastAsia" w:ascii="宋体" w:hAnsi="宋体" w:cs="仿宋_GB2312"/>
          <w:color w:val="FF0000"/>
          <w:kern w:val="0"/>
          <w:sz w:val="18"/>
          <w:szCs w:val="18"/>
          <w:lang w:val="en-US" w:eastAsia="zh-CN"/>
        </w:rPr>
        <w:t>【5】</w:t>
      </w:r>
      <w:r>
        <w:rPr>
          <w:rFonts w:hint="eastAsia" w:ascii="宋体" w:hAnsi="宋体" w:cs="仿宋_GB2312"/>
          <w:kern w:val="0"/>
          <w:sz w:val="18"/>
          <w:szCs w:val="18"/>
          <w:lang w:val="en-US" w:eastAsia="zh-CN"/>
        </w:rPr>
        <w:t>个风险等级：【R1（低风险）、R2（中低风险）、R3（中等风险）、R4（中高风险）、R5（高风险）】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若干等级。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4"/>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11" w:type="default"/>
          <w:footerReference r:id="rId12"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兴银理财【稳利安盈封闭式】</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兴银理财稳利安盈封闭式2023年216期固收类理财产品</w:t>
      </w:r>
      <w:r>
        <w:rPr>
          <w:rFonts w:hint="eastAsia" w:ascii="宋体" w:hAnsi="宋体" w:cs="仿宋_GB2312"/>
          <w:kern w:val="0"/>
          <w:sz w:val="18"/>
          <w:szCs w:val="18"/>
        </w:rPr>
        <w:t>】。</w:t>
      </w:r>
    </w:p>
    <w:p>
      <w:pPr>
        <w:widowControl/>
        <w:spacing w:line="360" w:lineRule="auto"/>
        <w:jc w:val="left"/>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r>
        <w:rPr>
          <w:rFonts w:hint="eastAsia" w:asciiTheme="majorEastAsia" w:hAnsiTheme="majorEastAsia" w:eastAsiaTheme="majorEastAsia"/>
          <w:bCs/>
          <w:kern w:val="0"/>
          <w:sz w:val="18"/>
          <w:szCs w:val="18"/>
        </w:rPr>
        <w:t>【兴银理财稳利安盈封闭式2023年216期C】</w:t>
      </w:r>
      <w:r>
        <w:rPr>
          <w:rFonts w:hint="eastAsia" w:hAnsi="宋体"/>
          <w:sz w:val="18"/>
          <w:szCs w:val="18"/>
        </w:rPr>
        <w:t>（适用【</w:t>
      </w:r>
      <w:r>
        <w:rPr>
          <w:rFonts w:hAnsi="宋体"/>
          <w:sz w:val="18"/>
          <w:szCs w:val="18"/>
        </w:rPr>
        <w:t>C</w:t>
      </w:r>
      <w:r>
        <w:rPr>
          <w:rFonts w:hint="eastAsia" w:hAnsi="宋体"/>
          <w:sz w:val="18"/>
          <w:szCs w:val="18"/>
        </w:rPr>
        <w:t>】类份额）</w:t>
      </w:r>
    </w:p>
    <w:p>
      <w:pPr>
        <w:ind w:firstLine="448" w:firstLineChars="249"/>
        <w:rPr>
          <w:rFonts w:ascii="宋体" w:hAnsi="宋体" w:cs="仿宋_GB2312"/>
          <w:kern w:val="0"/>
          <w:sz w:val="18"/>
          <w:szCs w:val="18"/>
        </w:rPr>
      </w:pP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Theme="minorEastAsia" w:hAnsiTheme="minorEastAsia"/>
          <w:sz w:val="18"/>
          <w:szCs w:val="18"/>
        </w:rPr>
        <w:t>Z7002023000918</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ascii="宋体" w:hAnsi="宋体" w:cs="仿宋_GB2312"/>
          <w:kern w:val="0"/>
          <w:sz w:val="18"/>
          <w:szCs w:val="18"/>
        </w:rPr>
        <w:t>111</w:t>
      </w:r>
      <w:r>
        <w:rPr>
          <w:rFonts w:hint="eastAsia" w:ascii="宋体" w:hAnsi="宋体" w:cs="仿宋_GB2312"/>
          <w:kern w:val="0"/>
          <w:sz w:val="18"/>
          <w:szCs w:val="18"/>
        </w:rPr>
        <w:t>】天</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1】</w:t>
      </w:r>
      <w:r>
        <w:rPr>
          <w:rFonts w:hint="eastAsia" w:ascii="宋体" w:hAnsi="宋体" w:cs="仿宋_GB2312"/>
          <w:kern w:val="0"/>
          <w:sz w:val="18"/>
          <w:szCs w:val="18"/>
        </w:rPr>
        <w:t>（产品管理人定义的产品风险评级为【R</w:t>
      </w:r>
      <w:r>
        <w:rPr>
          <w:rFonts w:ascii="宋体" w:hAnsi="宋体" w:cs="仿宋_GB2312"/>
          <w:kern w:val="0"/>
          <w:sz w:val="18"/>
          <w:szCs w:val="18"/>
        </w:rPr>
        <w:t>1</w:t>
      </w:r>
      <w:r>
        <w:rPr>
          <w:rFonts w:hint="eastAsia" w:ascii="宋体" w:hAnsi="宋体" w:cs="仿宋_GB2312"/>
          <w:kern w:val="0"/>
          <w:sz w:val="18"/>
          <w:szCs w:val="18"/>
        </w:rPr>
        <w:t>】；代理销售机构定义的产品风险评级为【R</w:t>
      </w:r>
      <w:r>
        <w:rPr>
          <w:rFonts w:ascii="宋体" w:hAnsi="宋体" w:cs="仿宋_GB2312"/>
          <w:kern w:val="0"/>
          <w:sz w:val="18"/>
          <w:szCs w:val="18"/>
        </w:rPr>
        <w:t>1</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 C6</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w:t>
      </w:r>
      <w:r>
        <w:rPr>
          <w:rFonts w:hint="eastAsia" w:ascii="宋体" w:hAnsi="宋体"/>
          <w:kern w:val="0"/>
          <w:sz w:val="18"/>
          <w:szCs w:val="18"/>
        </w:rPr>
        <w:t>债权</w:t>
      </w:r>
      <w:r>
        <w:rPr>
          <w:rFonts w:hint="eastAsia" w:ascii="宋体" w:hAnsi="宋体"/>
          <w:sz w:val="18"/>
          <w:szCs w:val="18"/>
        </w:rPr>
        <w:t>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w:t>
      </w:r>
      <w:r>
        <w:rPr>
          <w:rFonts w:hint="eastAsia" w:ascii="宋体" w:hAnsi="宋体"/>
          <w:kern w:val="0"/>
          <w:sz w:val="18"/>
          <w:szCs w:val="18"/>
        </w:rPr>
        <w:t>债权</w:t>
      </w:r>
      <w:r>
        <w:rPr>
          <w:rFonts w:hint="eastAsia" w:ascii="宋体" w:hAnsi="宋体"/>
          <w:sz w:val="18"/>
          <w:szCs w:val="18"/>
        </w:rPr>
        <w:t>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2"/>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2"/>
        <w:ind w:firstLine="426" w:firstLineChars="0"/>
        <w:rPr>
          <w:rFonts w:ascii="宋体" w:hAnsi="宋体" w:cs="仿宋_GB2312"/>
          <w:kern w:val="0"/>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2"/>
        <w:ind w:firstLine="426" w:firstLineChars="0"/>
        <w:rPr>
          <w:rFonts w:ascii="宋体" w:hAnsi="宋体" w:cs="仿宋_GB2312"/>
          <w:kern w:val="0"/>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2"/>
        <w:ind w:firstLine="361"/>
        <w:rPr>
          <w:rFonts w:ascii="宋体" w:hAnsi="宋体" w:cs="仿宋_GB2312"/>
          <w:kern w:val="0"/>
          <w:sz w:val="18"/>
          <w:szCs w:val="18"/>
        </w:rPr>
      </w:pPr>
      <w:r>
        <w:rPr>
          <w:rFonts w:hint="eastAsia" w:ascii="宋体" w:hAnsi="宋体"/>
          <w:b/>
          <w:bCs/>
          <w:sz w:val="18"/>
          <w:szCs w:val="18"/>
        </w:rPr>
        <w:t>3.市场</w:t>
      </w:r>
      <w:r>
        <w:rPr>
          <w:rFonts w:ascii="宋体" w:hAnsi="宋体"/>
          <w:b/>
          <w:bCs/>
          <w:sz w:val="18"/>
          <w:szCs w:val="18"/>
        </w:rPr>
        <w:t>风险：</w:t>
      </w: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2"/>
        <w:ind w:firstLine="426" w:firstLineChars="0"/>
        <w:rPr>
          <w:rFonts w:ascii="宋体" w:hAnsi="宋体" w:cs="仿宋_GB2312"/>
          <w:bCs/>
          <w:kern w:val="0"/>
          <w:sz w:val="18"/>
          <w:szCs w:val="18"/>
        </w:rPr>
      </w:pPr>
      <w:r>
        <w:rPr>
          <w:rFonts w:hint="eastAsia" w:ascii="宋体" w:hAnsi="宋体" w:cs="仿宋_GB2312"/>
          <w:b/>
          <w:kern w:val="0"/>
          <w:sz w:val="18"/>
          <w:szCs w:val="18"/>
        </w:rPr>
        <w:t>4.流动性风险：</w:t>
      </w: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2"/>
        <w:ind w:firstLine="426" w:firstLineChars="0"/>
        <w:rPr>
          <w:rFonts w:ascii="宋体" w:hAnsi="宋体" w:cs="仿宋_GB2312"/>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2"/>
        <w:ind w:firstLine="426" w:firstLineChars="0"/>
        <w:rPr>
          <w:rFonts w:ascii="宋体" w:hAnsi="宋体" w:cs="仿宋_GB2312"/>
          <w:kern w:val="0"/>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2"/>
        <w:ind w:firstLine="426" w:firstLineChars="0"/>
        <w:rPr>
          <w:rFonts w:ascii="宋体" w:hAnsi="宋体" w:cs="仿宋_GB2312"/>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2"/>
        <w:ind w:firstLine="426" w:firstLineChars="0"/>
        <w:rPr>
          <w:rFonts w:ascii="宋体" w:hAnsi="宋体" w:cs="仿宋_GB2312"/>
          <w:kern w:val="0"/>
          <w:sz w:val="18"/>
          <w:szCs w:val="18"/>
        </w:rPr>
      </w:pPr>
      <w:r>
        <w:rPr>
          <w:rFonts w:hint="eastAsia" w:ascii="宋体" w:hAnsi="宋体"/>
          <w:b/>
          <w:bCs/>
          <w:sz w:val="18"/>
          <w:szCs w:val="18"/>
        </w:rPr>
        <w:t>8.</w:t>
      </w:r>
      <w:r>
        <w:rPr>
          <w:rFonts w:ascii="宋体" w:hAnsi="宋体"/>
          <w:b/>
          <w:bCs/>
          <w:sz w:val="18"/>
          <w:szCs w:val="18"/>
        </w:rPr>
        <w:t>信息传递风险：</w:t>
      </w:r>
      <w:r>
        <w:rPr>
          <w:rFonts w:hint="eastAsia" w:ascii="宋体" w:hAnsi="宋体" w:cs="仿宋_GB2312"/>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hint="eastAsia" w:ascii="宋体" w:hAnsi="宋体" w:cs="仿宋_GB2312"/>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pPr>
        <w:ind w:firstLine="450" w:firstLineChars="249"/>
        <w:rPr>
          <w:rFonts w:ascii="宋体" w:hAnsi="宋体"/>
          <w:bCs/>
          <w:sz w:val="18"/>
          <w:szCs w:val="18"/>
        </w:rPr>
      </w:pPr>
      <w:r>
        <w:rPr>
          <w:rFonts w:hint="eastAsia" w:ascii="宋体" w:hAnsi="宋体"/>
          <w:b/>
          <w:bCs/>
          <w:sz w:val="18"/>
          <w:szCs w:val="18"/>
        </w:rPr>
        <w:t>9.</w:t>
      </w:r>
      <w:r>
        <w:rPr>
          <w:rFonts w:ascii="宋体" w:hAnsi="宋体"/>
          <w:b/>
          <w:bCs/>
          <w:sz w:val="18"/>
          <w:szCs w:val="18"/>
        </w:rPr>
        <w:t>不可抗力及意外事件风险：</w:t>
      </w:r>
      <w:r>
        <w:rPr>
          <w:rFonts w:hint="eastAsia" w:ascii="宋体" w:hAnsi="宋体"/>
          <w:bCs/>
          <w:sz w:val="18"/>
          <w:szCs w:val="18"/>
        </w:rPr>
        <w:t>因战争、自然灾害、重大政治事件等不可抗力以及其他不可预见的意外事件可能致使理财产品面临损失的风险。</w:t>
      </w:r>
    </w:p>
    <w:p>
      <w:pPr>
        <w:pStyle w:val="12"/>
        <w:ind w:firstLine="426" w:firstLineChars="0"/>
        <w:rPr>
          <w:rFonts w:ascii="宋体" w:hAnsi="宋体"/>
          <w:bCs/>
          <w:sz w:val="18"/>
          <w:szCs w:val="18"/>
        </w:rPr>
      </w:pPr>
      <w:r>
        <w:rPr>
          <w:rFonts w:ascii="宋体" w:hAnsi="宋体"/>
          <w:b/>
          <w:bCs/>
          <w:sz w:val="18"/>
          <w:szCs w:val="18"/>
        </w:rPr>
        <w:t>1</w:t>
      </w:r>
      <w:r>
        <w:rPr>
          <w:rFonts w:hint="eastAsia" w:ascii="宋体" w:hAnsi="宋体"/>
          <w:b/>
          <w:bCs/>
          <w:sz w:val="18"/>
          <w:szCs w:val="18"/>
        </w:rPr>
        <w:t>0.</w:t>
      </w:r>
      <w:r>
        <w:rPr>
          <w:rFonts w:ascii="宋体" w:hAnsi="宋体"/>
          <w:b/>
          <w:bCs/>
          <w:sz w:val="18"/>
          <w:szCs w:val="18"/>
        </w:rPr>
        <w:t>管理人风险：</w:t>
      </w: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2"/>
        <w:ind w:firstLineChars="0"/>
        <w:rPr>
          <w:rFonts w:ascii="宋体" w:hAnsi="宋体"/>
          <w:bCs/>
          <w:sz w:val="18"/>
          <w:szCs w:val="18"/>
        </w:rPr>
      </w:pPr>
      <w:r>
        <w:rPr>
          <w:rFonts w:ascii="宋体" w:hAnsi="宋体"/>
          <w:b/>
          <w:bCs/>
          <w:sz w:val="18"/>
          <w:szCs w:val="18"/>
        </w:rPr>
        <w:t>1</w:t>
      </w:r>
      <w:r>
        <w:rPr>
          <w:rFonts w:hint="eastAsia" w:ascii="宋体" w:hAnsi="宋体"/>
          <w:b/>
          <w:bCs/>
          <w:sz w:val="18"/>
          <w:szCs w:val="18"/>
        </w:rPr>
        <w:t>1.理财产品不成立风险：</w:t>
      </w: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2"/>
        <w:ind w:firstLineChars="0"/>
        <w:rPr>
          <w:rFonts w:ascii="宋体" w:hAnsi="宋体"/>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2"/>
        <w:ind w:firstLineChars="0"/>
        <w:rPr>
          <w:rFonts w:ascii="宋体" w:hAnsi="宋体"/>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2"/>
        <w:ind w:firstLineChars="0"/>
        <w:rPr>
          <w:rFonts w:ascii="宋体" w:hAnsi="宋体"/>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2"/>
        <w:ind w:firstLineChars="0"/>
        <w:rPr>
          <w:rFonts w:ascii="黑体" w:hAnsi="黑体" w:eastAsia="黑体"/>
          <w:bCs/>
          <w:sz w:val="18"/>
          <w:szCs w:val="18"/>
          <w:u w:val="single"/>
        </w:rPr>
      </w:pPr>
      <w:r>
        <w:rPr>
          <w:rFonts w:ascii="宋体" w:hAnsi="宋体"/>
          <w:b/>
          <w:bCs/>
          <w:sz w:val="18"/>
          <w:szCs w:val="18"/>
        </w:rPr>
        <w:t>1</w:t>
      </w:r>
      <w:r>
        <w:rPr>
          <w:rFonts w:hint="eastAsia" w:ascii="宋体" w:hAnsi="宋体"/>
          <w:b/>
          <w:bCs/>
          <w:sz w:val="18"/>
          <w:szCs w:val="18"/>
        </w:rPr>
        <w:t>5.</w:t>
      </w:r>
      <w:r>
        <w:rPr>
          <w:rFonts w:hint="eastAsia" w:hAnsi="宋体"/>
          <w:sz w:val="18"/>
          <w:szCs w:val="18"/>
        </w:rPr>
        <w:t>★</w:t>
      </w:r>
      <w:r>
        <w:rPr>
          <w:rFonts w:hint="eastAsia" w:ascii="宋体" w:hAnsi="宋体"/>
          <w:b/>
          <w:bCs/>
          <w:sz w:val="18"/>
          <w:szCs w:val="18"/>
        </w:rPr>
        <w:t>代销风险：</w:t>
      </w:r>
      <w:r>
        <w:rPr>
          <w:rFonts w:hint="eastAsia" w:ascii="黑体" w:hAnsi="黑体" w:eastAsia="黑体"/>
          <w:bCs/>
          <w:sz w:val="18"/>
          <w:szCs w:val="18"/>
          <w:u w:val="single"/>
        </w:rPr>
        <w:t>本理财产品若通过非产品管理人自有渠道进行销售的属于代理销售，认购</w:t>
      </w:r>
      <w:r>
        <w:rPr>
          <w:rFonts w:ascii="黑体" w:hAnsi="黑体" w:eastAsia="黑体"/>
          <w:bCs/>
          <w:sz w:val="18"/>
          <w:szCs w:val="18"/>
          <w:u w:val="single"/>
        </w:rPr>
        <w:t>/</w:t>
      </w:r>
      <w:r>
        <w:rPr>
          <w:rFonts w:hint="eastAsia" w:ascii="黑体" w:hAnsi="黑体" w:eastAsia="黑体"/>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bCs/>
          <w:sz w:val="18"/>
          <w:szCs w:val="18"/>
          <w:u w:val="single"/>
        </w:rPr>
        <w:t>申购</w:t>
      </w:r>
      <w:r>
        <w:rPr>
          <w:rFonts w:hint="eastAsia" w:ascii="黑体" w:hAnsi="黑体" w:eastAsia="黑体"/>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sz w:val="18"/>
          <w:szCs w:val="18"/>
        </w:rPr>
      </w:pPr>
      <w:r>
        <w:rPr>
          <w:rFonts w:ascii="黑体" w:hAnsi="黑体" w:eastAsia="黑体"/>
          <w:b/>
          <w:bCs/>
          <w:sz w:val="18"/>
          <w:szCs w:val="18"/>
          <w:u w:val="single"/>
        </w:rPr>
        <w:t>1</w:t>
      </w:r>
      <w:r>
        <w:rPr>
          <w:rFonts w:hint="eastAsia" w:ascii="黑体" w:hAnsi="黑体" w:eastAsia="黑体"/>
          <w:b/>
          <w:bCs/>
          <w:sz w:val="18"/>
          <w:szCs w:val="18"/>
          <w:u w:val="single"/>
        </w:rPr>
        <w:t>6</w:t>
      </w:r>
      <w:r>
        <w:rPr>
          <w:rFonts w:ascii="黑体" w:hAnsi="黑体" w:eastAsia="黑体"/>
          <w:b/>
          <w:bCs/>
          <w:sz w:val="18"/>
          <w:szCs w:val="18"/>
          <w:u w:val="single"/>
        </w:rPr>
        <w:t>.</w:t>
      </w:r>
      <w:r>
        <w:rPr>
          <w:rFonts w:hint="eastAsia" w:ascii="黑体" w:hAnsi="黑体" w:eastAsia="黑体" w:cs="仿宋_GB2312"/>
          <w:b/>
          <w:kern w:val="0"/>
          <w:sz w:val="18"/>
          <w:szCs w:val="18"/>
        </w:rPr>
        <w:t>★不同理财产品份额类别存在差异的风险：</w:t>
      </w: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2"/>
        <w:ind w:firstLineChars="0"/>
        <w:rPr>
          <w:rFonts w:ascii="黑体" w:hAnsi="黑体" w:eastAsia="黑体"/>
          <w:sz w:val="18"/>
          <w:szCs w:val="18"/>
          <w:u w:val="single"/>
        </w:rPr>
      </w:pPr>
      <w:r>
        <w:rPr>
          <w:rFonts w:ascii="黑体" w:hAnsi="黑体" w:eastAsia="黑体"/>
          <w:b/>
          <w:bCs/>
          <w:sz w:val="18"/>
          <w:szCs w:val="18"/>
          <w:u w:val="single"/>
        </w:rPr>
        <w:t>1</w:t>
      </w:r>
      <w:r>
        <w:rPr>
          <w:rFonts w:hint="eastAsia" w:ascii="黑体" w:hAnsi="黑体" w:eastAsia="黑体"/>
          <w:b/>
          <w:bCs/>
          <w:sz w:val="18"/>
          <w:szCs w:val="18"/>
          <w:u w:val="single"/>
        </w:rPr>
        <w:t>7</w:t>
      </w:r>
      <w:r>
        <w:rPr>
          <w:rFonts w:ascii="黑体" w:hAnsi="黑体" w:eastAsia="黑体"/>
          <w:b/>
          <w:bCs/>
          <w:sz w:val="18"/>
          <w:szCs w:val="18"/>
          <w:u w:val="single"/>
        </w:rPr>
        <w:t>.</w:t>
      </w:r>
      <w:r>
        <w:rPr>
          <w:rFonts w:hint="eastAsia" w:ascii="黑体" w:hAnsi="黑体" w:eastAsia="黑体"/>
          <w:b/>
          <w:bCs/>
          <w:sz w:val="18"/>
          <w:szCs w:val="18"/>
          <w:u w:val="single"/>
        </w:rPr>
        <w:t>关联交易风险：</w:t>
      </w:r>
      <w:r>
        <w:rPr>
          <w:rFonts w:hint="eastAsia" w:ascii="黑体" w:hAnsi="黑体" w:eastAsia="黑体"/>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hAnsi="黑体" w:eastAsia="黑体"/>
          <w:sz w:val="18"/>
          <w:szCs w:val="18"/>
          <w:u w:val="single"/>
        </w:rPr>
        <w:t>关系</w:t>
      </w:r>
      <w:r>
        <w:rPr>
          <w:rFonts w:hint="eastAsia" w:ascii="黑体" w:hAnsi="黑体" w:eastAsia="黑体"/>
          <w:sz w:val="18"/>
          <w:szCs w:val="18"/>
          <w:u w:val="single"/>
        </w:rPr>
        <w:t>仍可能产生</w:t>
      </w:r>
      <w:r>
        <w:rPr>
          <w:rFonts w:ascii="黑体" w:hAnsi="黑体" w:eastAsia="黑体"/>
          <w:sz w:val="18"/>
          <w:szCs w:val="18"/>
          <w:u w:val="single"/>
        </w:rPr>
        <w:t>不利影响和投资</w:t>
      </w:r>
      <w:r>
        <w:rPr>
          <w:rFonts w:hint="eastAsia" w:ascii="黑体" w:hAnsi="黑体" w:eastAsia="黑体"/>
          <w:sz w:val="18"/>
          <w:szCs w:val="18"/>
          <w:u w:val="single"/>
        </w:rPr>
        <w:t>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w:t>
      </w:r>
      <w:r>
        <w:rPr>
          <w:rFonts w:hint="eastAsia" w:ascii="黑体" w:hAnsi="黑体" w:eastAsia="黑体" w:cs="仿宋_GB2312"/>
          <w:b/>
          <w:bCs/>
          <w:kern w:val="0"/>
          <w:sz w:val="18"/>
          <w:szCs w:val="18"/>
        </w:rPr>
        <w:t>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numPr>
          <w:numId w:val="0"/>
        </w:numPr>
        <w:autoSpaceDE w:val="0"/>
        <w:autoSpaceDN w:val="0"/>
        <w:adjustRightInd w:val="0"/>
        <w:spacing w:line="280" w:lineRule="atLeast"/>
        <w:ind w:firstLine="5040" w:firstLineChars="2800"/>
        <w:jc w:val="left"/>
        <w:rPr>
          <w:rFonts w:ascii="宋体" w:hAnsi="宋体"/>
          <w:sz w:val="18"/>
          <w:szCs w:val="18"/>
        </w:rPr>
      </w:pPr>
      <w:r>
        <w:rPr>
          <w:rFonts w:hint="eastAsia" w:ascii="宋体" w:hAnsi="宋体"/>
          <w:sz w:val="18"/>
          <w:szCs w:val="18"/>
        </w:rPr>
        <w:t>销售机构（【</w:t>
      </w:r>
      <w:r>
        <w:rPr>
          <w:rFonts w:hint="eastAsia" w:ascii="宋体" w:hAnsi="宋体"/>
          <w:sz w:val="18"/>
          <w:szCs w:val="18"/>
          <w:lang w:val="en-US" w:eastAsia="zh-CN"/>
        </w:rPr>
        <w:t>福建省农村信用社联合社</w:t>
      </w:r>
      <w:r>
        <w:rPr>
          <w:rFonts w:hint="eastAsia" w:ascii="宋体" w:hAnsi="宋体"/>
          <w:sz w:val="18"/>
          <w:szCs w:val="18"/>
        </w:rPr>
        <w:t>】）</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13" w:type="default"/>
          <w:footerReference r:id="rId14"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0"/>
          <w:rFonts w:ascii="黑体" w:hAnsi="黑体" w:eastAsia="黑体"/>
          <w:sz w:val="28"/>
          <w:szCs w:val="28"/>
        </w:rPr>
      </w:pPr>
      <w:bookmarkStart w:id="222" w:name="_GoBack"/>
      <w:r>
        <w:rPr>
          <w:rStyle w:val="10"/>
          <w:rFonts w:hint="eastAsia" w:ascii="黑体" w:hAnsi="黑体" w:eastAsia="黑体"/>
          <w:sz w:val="28"/>
          <w:szCs w:val="28"/>
        </w:rPr>
        <w:t>兴银理财【稳利安盈封闭式】理财产品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numPr>
          <w:numId w:val="0"/>
        </w:numPr>
        <w:autoSpaceDE w:val="0"/>
        <w:autoSpaceDN w:val="0"/>
        <w:adjustRightInd w:val="0"/>
        <w:spacing w:line="280" w:lineRule="atLeast"/>
        <w:ind w:firstLine="360" w:firstLineChars="200"/>
        <w:jc w:val="left"/>
        <w:rPr>
          <w:rFonts w:ascii="宋体" w:hAnsi="宋体"/>
          <w:sz w:val="18"/>
          <w:szCs w:val="18"/>
        </w:rPr>
      </w:pPr>
      <w:r>
        <w:rPr>
          <w:rFonts w:hint="eastAsia" w:ascii="宋体" w:hAnsi="宋体"/>
          <w:sz w:val="18"/>
          <w:szCs w:val="18"/>
        </w:rPr>
        <w:t>感谢您通过销售机构【</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福建省农村信用社联合社</w:t>
      </w:r>
      <w:r>
        <w:rPr>
          <w:rFonts w:hint="eastAsia" w:asciiTheme="majorEastAsia" w:hAnsiTheme="majorEastAsia" w:eastAsiaTheme="majorEastAsia"/>
          <w:bCs/>
          <w:sz w:val="18"/>
          <w:szCs w:val="18"/>
          <w:lang w:val="en-US" w:eastAsia="zh-CN"/>
        </w:rPr>
        <w:t xml:space="preserve"> </w:t>
      </w:r>
      <w:r>
        <w:rPr>
          <w:rFonts w:hint="eastAsia" w:ascii="宋体" w:hAnsi="宋体"/>
          <w:sz w:val="18"/>
          <w:szCs w:val="18"/>
        </w:rPr>
        <w:t>】以(□ 直销：产品管理人销售/</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w:t>
      </w:r>
      <w:r>
        <w:rPr>
          <w:rFonts w:ascii="宋体" w:hAnsi="宋体"/>
          <w:sz w:val="18"/>
          <w:szCs w:val="18"/>
        </w:rPr>
        <w:t>（包括但不限于网上银行、电话银行和手机银行）均可办理理财产品的购买手续，但是对于具体理财产品，</w:t>
      </w:r>
      <w:r>
        <w:rPr>
          <w:rFonts w:hint="eastAsia" w:ascii="宋体" w:hAnsi="宋体"/>
          <w:sz w:val="18"/>
          <w:szCs w:val="18"/>
        </w:rPr>
        <w:t>产品管理人</w:t>
      </w:r>
      <w:r>
        <w:rPr>
          <w:rFonts w:ascii="宋体" w:hAnsi="宋体"/>
          <w:sz w:val="18"/>
          <w:szCs w:val="18"/>
        </w:rPr>
        <w:t>将根据产品风险等级和市场情况自行确定发售渠道。</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0" w:firstLineChars="200"/>
        <w:rPr>
          <w:rFonts w:ascii="宋体" w:hAnsi="宋体"/>
          <w:sz w:val="18"/>
          <w:szCs w:val="18"/>
        </w:rPr>
      </w:pPr>
      <w:r>
        <w:rPr>
          <w:rFonts w:ascii="宋体" w:hAnsi="宋体"/>
          <w:sz w:val="18"/>
          <w:szCs w:val="18"/>
        </w:rPr>
        <w:t>2</w:t>
      </w:r>
      <w:r>
        <w:rPr>
          <w:rFonts w:hint="eastAsia" w:ascii="宋体" w:hAnsi="宋体"/>
          <w:sz w:val="18"/>
          <w:szCs w:val="18"/>
        </w:rPr>
        <w:t xml:space="preserve">.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14"/>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信息披露条款</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numPr>
          <w:ilvl w:val="0"/>
          <w:numId w:val="0"/>
        </w:numPr>
        <w:autoSpaceDE w:val="0"/>
        <w:autoSpaceDN w:val="0"/>
        <w:adjustRightInd w:val="0"/>
        <w:spacing w:line="280" w:lineRule="atLeast"/>
        <w:jc w:val="left"/>
        <w:rPr>
          <w:rFonts w:hint="eastAsia" w:ascii="宋体" w:hAnsi="宋体"/>
          <w:sz w:val="18"/>
          <w:szCs w:val="18"/>
        </w:rPr>
      </w:pPr>
      <w:r>
        <w:rPr>
          <w:rFonts w:hint="eastAsia" w:ascii="宋体" w:hAnsi="宋体"/>
          <w:sz w:val="18"/>
          <w:szCs w:val="18"/>
        </w:rPr>
        <w:t>3、销售机构：通过【福建省农村信用社联合社】（作为销售服务机构）购买本产品的，请联系【福建省农村信用社联合社】，【福建省农村信用社联合社】客户服务热线：【0591-96336】；【福建省农村信用社联合社】门户网站：【www.fjnx.com.cn】。</w:t>
      </w:r>
    </w:p>
    <w:p>
      <w:pPr>
        <w:ind w:firstLine="360" w:firstLineChars="200"/>
        <w:rPr>
          <w:rFonts w:ascii="宋体" w:hAnsi="宋体"/>
          <w:sz w:val="18"/>
          <w:szCs w:val="18"/>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jc w:val="right"/>
        <w:rPr>
          <w:rFonts w:ascii="宋体" w:hAnsi="宋体"/>
          <w:sz w:val="18"/>
          <w:szCs w:val="18"/>
        </w:rPr>
      </w:pPr>
    </w:p>
    <w:p>
      <w:pPr>
        <w:ind w:right="84" w:rightChars="40"/>
        <w:jc w:val="right"/>
        <w:rPr>
          <w:rFonts w:ascii="宋体" w:hAnsi="宋体"/>
          <w:sz w:val="18"/>
          <w:szCs w:val="18"/>
        </w:rPr>
      </w:pPr>
      <w:r>
        <w:rPr>
          <w:rFonts w:ascii="宋体" w:hAnsi="宋体"/>
          <w:sz w:val="18"/>
          <w:szCs w:val="18"/>
        </w:rPr>
        <w:t xml:space="preserve"> </w:t>
      </w:r>
    </w:p>
    <w:p>
      <w:pPr>
        <w:widowControl/>
        <w:jc w:val="left"/>
        <w:rPr>
          <w:rFonts w:hint="eastAsia" w:ascii="宋体" w:hAnsi="宋体"/>
          <w:b/>
          <w:sz w:val="18"/>
          <w:szCs w:val="18"/>
        </w:rPr>
      </w:pPr>
    </w:p>
    <w:bookmarkEnd w:id="222"/>
    <w:sectPr>
      <w:headerReference r:id="rId15" w:type="default"/>
      <w:footerReference r:id="rId16"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10</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1552879"/>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4"/>
      <w:jc w:val="right"/>
      <w:rPr>
        <w:rFonts w:ascii="Times New Roman" w:hAnsi="Times New Roman"/>
        <w:b/>
      </w:rPr>
    </w:pPr>
    <w:r>
      <w:rPr>
        <w:rFonts w:hint="eastAsia" w:ascii="Times New Roman" w:hAnsi="Times New Roman"/>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4"/>
      <w:jc w:val="right"/>
      <w:rPr>
        <w:rFonts w:ascii="Times New Roman" w:hAnsi="Times New Roman"/>
        <w:b/>
      </w:rPr>
    </w:pPr>
    <w:r>
      <w:rPr>
        <w:rFonts w:hint="eastAsia" w:ascii="Times New Roman" w:hAnsi="Times New Roman"/>
        <w:b/>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（代理）销售协议书</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4"/>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E10378"/>
    <w:rsid w:val="5AFA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toc 1"/>
    <w:basedOn w:val="1"/>
    <w:next w:val="1"/>
    <w:qFormat/>
    <w:uiPriority w:val="39"/>
    <w:pPr>
      <w:tabs>
        <w:tab w:val="right" w:leader="dot" w:pos="8296"/>
      </w:tabs>
      <w:spacing w:line="360" w:lineRule="auto"/>
    </w:p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Hyperlink"/>
    <w:basedOn w:val="9"/>
    <w:qFormat/>
    <w:uiPriority w:val="99"/>
    <w:rPr>
      <w:color w:val="0000FF"/>
      <w:u w:val="single"/>
    </w:rPr>
  </w:style>
  <w:style w:type="paragraph" w:styleId="12">
    <w:name w:val="List Paragraph"/>
    <w:basedOn w:val="1"/>
    <w:qFormat/>
    <w:uiPriority w:val="0"/>
    <w:pPr>
      <w:ind w:firstLine="420" w:firstLineChars="200"/>
    </w:pPr>
  </w:style>
  <w:style w:type="paragraph" w:customStyle="1" w:styleId="1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2023-11-27T09:31:00Z</dcterms:created>
  <dc:creator>cib</dc:creator>
  <cp:lastModifiedBy>cibfz</cp:lastModifiedBy>
  <dcterms:modified xsi:type="dcterms:W3CDTF">2023-11-30T02:04:54Z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