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10"/>
          <w:rFonts w:hint="eastAsia" w:ascii="黑体" w:hAnsi="黑体" w:eastAsia="黑体"/>
          <w:sz w:val="44"/>
          <w:szCs w:val="44"/>
        </w:rPr>
        <w:t>稳利安盈封闭式</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8"/>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兴银理财稳利安盈封闭式理财产品产品说明书</w:t>
            </w:r>
          </w:p>
        </w:tc>
        <w:tc>
          <w:tcPr>
            <w:tcW w:w="1984" w:type="dxa"/>
          </w:tcPr>
          <w:p>
            <w:pPr>
              <w:pStyle w:val="12"/>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兴银理财稳利安盈封闭式理财产品（代理）销售协议书</w:t>
            </w:r>
          </w:p>
        </w:tc>
        <w:tc>
          <w:tcPr>
            <w:tcW w:w="1984"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2"/>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12"/>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兴银理财稳利安盈封闭式理财产品</w:t>
      </w: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0"/>
          <w:rFonts w:ascii="宋体" w:hAnsi="宋体"/>
          <w:sz w:val="28"/>
          <w:szCs w:val="28"/>
        </w:rPr>
      </w:pPr>
      <w:bookmarkStart w:id="0" w:name="_Toc123701383"/>
      <w:bookmarkStart w:id="1" w:name="_Toc139991726"/>
      <w:bookmarkStart w:id="2" w:name="_Toc139992301"/>
      <w:bookmarkStart w:id="3" w:name="_Toc123112224"/>
      <w:bookmarkStart w:id="4" w:name="_Toc123112263"/>
      <w:r>
        <w:rPr>
          <w:rStyle w:val="10"/>
          <w:rFonts w:hint="eastAsia" w:ascii="宋体" w:hAnsi="宋体"/>
          <w:sz w:val="28"/>
          <w:szCs w:val="28"/>
        </w:rPr>
        <w:t>理财产品管理人：</w:t>
      </w:r>
      <w:bookmarkEnd w:id="0"/>
      <w:bookmarkEnd w:id="1"/>
      <w:bookmarkEnd w:id="2"/>
      <w:bookmarkEnd w:id="3"/>
      <w:bookmarkEnd w:id="4"/>
      <w:r>
        <w:rPr>
          <w:rStyle w:val="10"/>
          <w:rFonts w:hint="eastAsia" w:ascii="宋体" w:hAnsi="宋体"/>
          <w:sz w:val="28"/>
          <w:szCs w:val="28"/>
        </w:rPr>
        <w:t>兴银理财有限责任公司</w:t>
      </w:r>
    </w:p>
    <w:p>
      <w:pPr>
        <w:adjustRightInd w:val="0"/>
        <w:spacing w:line="360" w:lineRule="auto"/>
        <w:jc w:val="center"/>
        <w:rPr>
          <w:rStyle w:val="10"/>
          <w:rFonts w:ascii="黑体" w:hAnsi="黑体" w:eastAsia="黑体" w:cs="宋体"/>
          <w:sz w:val="28"/>
          <w:szCs w:val="28"/>
        </w:rPr>
      </w:pPr>
      <w:bookmarkStart w:id="5" w:name="_Toc123112264"/>
      <w:bookmarkStart w:id="6" w:name="_Toc123701384"/>
      <w:bookmarkStart w:id="7" w:name="_Toc123112225"/>
      <w:bookmarkStart w:id="8" w:name="_Toc139992302"/>
      <w:bookmarkStart w:id="9" w:name="_Toc139991727"/>
    </w:p>
    <w:bookmarkEnd w:id="5"/>
    <w:bookmarkEnd w:id="6"/>
    <w:bookmarkEnd w:id="7"/>
    <w:bookmarkEnd w:id="8"/>
    <w:bookmarkEnd w:id="9"/>
    <w:p>
      <w:pPr>
        <w:adjustRightInd w:val="0"/>
        <w:spacing w:line="360" w:lineRule="auto"/>
        <w:jc w:val="center"/>
        <w:rPr>
          <w:rStyle w:val="10"/>
          <w:rFonts w:ascii="黑体" w:hAnsi="黑体" w:eastAsia="黑体" w:cs="宋体"/>
          <w:sz w:val="28"/>
          <w:szCs w:val="28"/>
        </w:rPr>
      </w:pPr>
    </w:p>
    <w:p>
      <w:pPr>
        <w:adjustRightInd w:val="0"/>
        <w:spacing w:line="360" w:lineRule="auto"/>
        <w:jc w:val="center"/>
        <w:rPr>
          <w:rStyle w:val="10"/>
          <w:rFonts w:ascii="宋体" w:hAnsi="宋体"/>
          <w:sz w:val="28"/>
          <w:szCs w:val="28"/>
        </w:rPr>
      </w:pPr>
      <w:r>
        <w:rPr>
          <w:rStyle w:val="10"/>
          <w:rFonts w:hint="eastAsia" w:ascii="宋体" w:hAnsi="宋体"/>
          <w:sz w:val="28"/>
          <w:szCs w:val="28"/>
        </w:rPr>
        <w:t>日期</w:t>
      </w:r>
      <w:r>
        <w:rPr>
          <w:rStyle w:val="10"/>
          <w:rFonts w:ascii="宋体" w:hAnsi="宋体"/>
          <w:sz w:val="28"/>
          <w:szCs w:val="28"/>
        </w:rPr>
        <w:t>：</w:t>
      </w:r>
      <w:r>
        <w:rPr>
          <w:rStyle w:val="10"/>
          <w:rFonts w:hint="eastAsia" w:ascii="宋体" w:hAnsi="宋体"/>
          <w:sz w:val="28"/>
          <w:szCs w:val="28"/>
        </w:rPr>
        <w:t>【</w:t>
      </w:r>
      <w:r>
        <w:rPr>
          <w:rStyle w:val="10"/>
        </w:rPr>
        <w:t>2023</w:t>
      </w:r>
      <w:r>
        <w:rPr>
          <w:rStyle w:val="10"/>
          <w:rFonts w:hint="eastAsia" w:ascii="宋体" w:hAnsi="宋体"/>
          <w:sz w:val="28"/>
          <w:szCs w:val="28"/>
        </w:rPr>
        <w:t>】年【</w:t>
      </w:r>
      <w:r>
        <w:rPr>
          <w:rStyle w:val="10"/>
        </w:rPr>
        <w:t>11</w:t>
      </w:r>
      <w:r>
        <w:rPr>
          <w:rStyle w:val="10"/>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8"/>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6"/>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39991729"/>
      <w:bookmarkStart w:id="12" w:name="_Toc123112266"/>
      <w:bookmarkStart w:id="13" w:name="_Toc123112227"/>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7"/>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4"/>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4"/>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4"/>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64"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3"/>
            <w:spacing w:line="360" w:lineRule="auto"/>
            <w:jc w:val="center"/>
          </w:pPr>
          <w:r>
            <w:rPr>
              <w:lang w:val="zh-CN"/>
            </w:rPr>
            <w:t>目录</w:t>
          </w:r>
        </w:p>
        <w:p>
          <w:pPr>
            <w:pStyle w:val="5"/>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"_Toc111714032" </w:instrText>
          </w:r>
          <w:r>
            <w:fldChar w:fldCharType="separate"/>
          </w:r>
          <w:r>
            <w:rPr>
              <w:rStyle w:val="11"/>
              <w:rFonts w:hint="eastAsia"/>
            </w:rPr>
            <w:t>第一条</w:t>
          </w:r>
          <w:r>
            <w:rPr>
              <w:rStyle w:val="11"/>
            </w:rPr>
            <w:t xml:space="preserve">  </w:t>
          </w:r>
          <w:r>
            <w:rPr>
              <w:rStyle w:val="11"/>
              <w:rFonts w:hint="eastAsia"/>
            </w:rPr>
            <w:t>前言</w:t>
          </w:r>
          <w:r>
            <w:tab/>
          </w:r>
          <w:r>
            <w:fldChar w:fldCharType="begin"/>
          </w:r>
          <w:r>
            <w:instrText xml:space="preserve"> PAGEREF _Toc111714032 \h </w:instrText>
          </w:r>
          <w:r>
            <w:fldChar w:fldCharType="separate"/>
          </w:r>
          <w:r>
            <w:t>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"_Toc111714033" </w:instrText>
          </w:r>
          <w:r>
            <w:fldChar w:fldCharType="separate"/>
          </w:r>
          <w:r>
            <w:rPr>
              <w:rStyle w:val="11"/>
              <w:rFonts w:hint="eastAsia"/>
            </w:rPr>
            <w:t>第二条</w:t>
          </w:r>
          <w:r>
            <w:rPr>
              <w:rStyle w:val="11"/>
            </w:rPr>
            <w:t xml:space="preserve">  </w:t>
          </w:r>
          <w:r>
            <w:rPr>
              <w:rStyle w:val="11"/>
              <w:rFonts w:hint="eastAsia"/>
            </w:rPr>
            <w:t>双方权利义务</w:t>
          </w:r>
          <w:r>
            <w:tab/>
          </w:r>
          <w:r>
            <w:fldChar w:fldCharType="begin"/>
          </w:r>
          <w:r>
            <w:instrText xml:space="preserve"> PAGEREF _Toc111714033 \h </w:instrText>
          </w:r>
          <w:r>
            <w:fldChar w:fldCharType="separate"/>
          </w:r>
          <w:r>
            <w:t>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"_Toc111714034" </w:instrText>
          </w:r>
          <w:r>
            <w:fldChar w:fldCharType="separate"/>
          </w:r>
          <w:r>
            <w:rPr>
              <w:rStyle w:val="11"/>
              <w:rFonts w:hint="eastAsia"/>
            </w:rPr>
            <w:t>第三条</w:t>
          </w:r>
          <w:r>
            <w:rPr>
              <w:rStyle w:val="11"/>
            </w:rPr>
            <w:t xml:space="preserve">  </w:t>
          </w:r>
          <w:r>
            <w:rPr>
              <w:rStyle w:val="11"/>
              <w:rFonts w:hint="eastAsia"/>
            </w:rPr>
            <w:t>不可抗力</w:t>
          </w:r>
          <w:r>
            <w:tab/>
          </w:r>
          <w:r>
            <w:fldChar w:fldCharType="begin"/>
          </w:r>
          <w:r>
            <w:instrText xml:space="preserve"> PAGEREF _Toc111714034 \h </w:instrText>
          </w:r>
          <w:r>
            <w:fldChar w:fldCharType="separate"/>
          </w:r>
          <w:r>
            <w:t>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"_Toc111714035" </w:instrText>
          </w:r>
          <w:r>
            <w:fldChar w:fldCharType="separate"/>
          </w:r>
          <w:r>
            <w:rPr>
              <w:rStyle w:val="11"/>
              <w:rFonts w:hint="eastAsia"/>
            </w:rPr>
            <w:t>第四条</w:t>
          </w:r>
          <w:r>
            <w:rPr>
              <w:rStyle w:val="11"/>
            </w:rPr>
            <w:t xml:space="preserve">  </w:t>
          </w:r>
          <w:r>
            <w:rPr>
              <w:rStyle w:val="11"/>
              <w:rFonts w:hint="eastAsia"/>
            </w:rPr>
            <w:t>违约责任</w:t>
          </w:r>
          <w:r>
            <w:tab/>
          </w:r>
          <w:r>
            <w:fldChar w:fldCharType="begin"/>
          </w:r>
          <w:r>
            <w:instrText xml:space="preserve"> PAGEREF _Toc111714035 \h </w:instrText>
          </w:r>
          <w:r>
            <w:fldChar w:fldCharType="separate"/>
          </w:r>
          <w:r>
            <w:t>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"_Toc111714036" </w:instrText>
          </w:r>
          <w:r>
            <w:fldChar w:fldCharType="separate"/>
          </w:r>
          <w:r>
            <w:rPr>
              <w:rStyle w:val="11"/>
              <w:rFonts w:hint="eastAsia"/>
            </w:rPr>
            <w:t>第五条</w:t>
          </w:r>
          <w:r>
            <w:rPr>
              <w:rStyle w:val="11"/>
            </w:rPr>
            <w:t xml:space="preserve">  </w:t>
          </w:r>
          <w:r>
            <w:rPr>
              <w:rStyle w:val="11"/>
              <w:rFonts w:hint="eastAsia"/>
            </w:rPr>
            <w:t>法律适用和争议解决</w:t>
          </w:r>
          <w:r>
            <w:tab/>
          </w:r>
          <w:r>
            <w:fldChar w:fldCharType="begin"/>
          </w:r>
          <w:r>
            <w:instrText xml:space="preserve"> PAGEREF _Toc111714036 \h </w:instrText>
          </w:r>
          <w:r>
            <w:fldChar w:fldCharType="separate"/>
          </w:r>
          <w:r>
            <w:t>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"_Toc111714037" </w:instrText>
          </w:r>
          <w:r>
            <w:fldChar w:fldCharType="separate"/>
          </w:r>
          <w:r>
            <w:rPr>
              <w:rStyle w:val="11"/>
              <w:rFonts w:hint="eastAsia"/>
            </w:rPr>
            <w:t>第六条</w:t>
          </w:r>
          <w:r>
            <w:rPr>
              <w:rStyle w:val="11"/>
            </w:rPr>
            <w:t xml:space="preserve">  </w:t>
          </w:r>
          <w:r>
            <w:rPr>
              <w:rStyle w:val="11"/>
              <w:rFonts w:hint="eastAsia"/>
            </w:rPr>
            <w:t>协议的签署和效力</w:t>
          </w:r>
          <w:r>
            <w:tab/>
          </w:r>
          <w:r>
            <w:fldChar w:fldCharType="begin"/>
          </w:r>
          <w:r>
            <w:instrText xml:space="preserve"> PAGEREF _Toc111714037 \h </w:instrText>
          </w:r>
          <w:r>
            <w:fldChar w:fldCharType="separate"/>
          </w:r>
          <w:r>
            <w:t>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"_Toc111714038" </w:instrText>
          </w:r>
          <w:r>
            <w:fldChar w:fldCharType="separate"/>
          </w:r>
          <w:r>
            <w:rPr>
              <w:rStyle w:val="11"/>
              <w:rFonts w:hint="eastAsia"/>
            </w:rPr>
            <w:t>第七条</w:t>
          </w:r>
          <w:r>
            <w:rPr>
              <w:rStyle w:val="11"/>
            </w:rPr>
            <w:t xml:space="preserve">  </w:t>
          </w:r>
          <w:r>
            <w:rPr>
              <w:rStyle w:val="11"/>
              <w:rFonts w:hint="eastAsia"/>
            </w:rPr>
            <w:t>消费者权益保护</w:t>
          </w:r>
          <w:r>
            <w:tab/>
          </w:r>
          <w:r>
            <w:fldChar w:fldCharType="begin"/>
          </w:r>
          <w:r>
            <w:instrText xml:space="preserve"> PAGEREF _Toc111714038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68"/>
      <w:bookmarkStart w:id="15" w:name="_Toc30935"/>
      <w:bookmarkStart w:id="16" w:name="_Toc26897"/>
      <w:bookmarkStart w:id="17" w:name="_Toc123701389"/>
      <w:bookmarkStart w:id="18" w:name="_Toc141703880"/>
      <w:bookmarkStart w:id="19" w:name="_Toc4966"/>
      <w:bookmarkStart w:id="20" w:name="_Toc32639"/>
      <w:bookmarkStart w:id="21" w:name="_Toc29629"/>
      <w:bookmarkStart w:id="22" w:name="_Toc15517"/>
      <w:bookmarkStart w:id="23" w:name="_Toc4867"/>
      <w:bookmarkStart w:id="24" w:name="_Toc6306"/>
      <w:bookmarkStart w:id="25" w:name="_Toc139991730"/>
      <w:bookmarkStart w:id="26" w:name="_Toc123112229"/>
      <w:bookmarkStart w:id="27" w:name="_Toc23386"/>
      <w:bookmarkStart w:id="28" w:name="_Toc8727"/>
      <w:bookmarkStart w:id="29" w:name="_Toc11171403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819"/>
      <w:bookmarkStart w:id="33" w:name="_Toc13020"/>
      <w:bookmarkStart w:id="34" w:name="_Toc258829399"/>
      <w:bookmarkStart w:id="35" w:name="_Toc6617"/>
      <w:bookmarkStart w:id="36" w:name="_Toc24860"/>
      <w:bookmarkStart w:id="37" w:name="_Toc2465"/>
      <w:bookmarkStart w:id="38" w:name="_Toc3224"/>
      <w:bookmarkStart w:id="39" w:name="_Toc22864"/>
      <w:bookmarkStart w:id="40" w:name="_Toc19592"/>
      <w:bookmarkStart w:id="41" w:name="_Toc15067"/>
      <w:bookmarkStart w:id="42" w:name="_Toc21301"/>
      <w:r>
        <w:rPr>
          <w:rFonts w:hint="eastAsia" w:ascii="Times New Roman"/>
          <w:color w:val="auto"/>
          <w:sz w:val="30"/>
        </w:rPr>
        <w:t>前言</w:t>
      </w:r>
      <w:bookmarkEnd w:id="29"/>
    </w:p>
    <w:p>
      <w:pPr>
        <w:pStyle w:val="14"/>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14"/>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11714033"/>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111714034"/>
      <w:bookmarkStart w:id="47" w:name="_Toc74065740"/>
      <w:bookmarkStart w:id="48" w:name="_Toc13288"/>
      <w:bookmarkStart w:id="49" w:name="_Toc20627"/>
      <w:bookmarkStart w:id="50" w:name="_Toc18631"/>
      <w:bookmarkStart w:id="51" w:name="_Toc20318"/>
      <w:bookmarkStart w:id="52" w:name="_Toc733"/>
      <w:bookmarkStart w:id="53" w:name="_Toc6683"/>
      <w:bookmarkStart w:id="54" w:name="_Toc22708"/>
      <w:bookmarkStart w:id="55" w:name="_Toc24571"/>
      <w:bookmarkStart w:id="56" w:name="_Toc545"/>
      <w:bookmarkStart w:id="57" w:name="_Toc6149"/>
      <w:bookmarkStart w:id="58" w:name="_Toc233456272"/>
      <w:bookmarkStart w:id="59" w:name="_Toc258829400"/>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11171403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111714036"/>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1714037"/>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111714038"/>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兴银理财稳利安盈封闭式理财产品</w:t>
      </w: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产品说明书</w:t>
      </w:r>
    </w:p>
    <w:p>
      <w:pPr>
        <w:adjustRightInd w:val="0"/>
        <w:spacing w:line="360" w:lineRule="auto"/>
        <w:jc w:val="center"/>
        <w:rPr>
          <w:rStyle w:val="10"/>
          <w:rFonts w:ascii="宋体" w:hAnsi="宋体"/>
          <w:sz w:val="32"/>
          <w:szCs w:val="32"/>
        </w:rPr>
      </w:pPr>
    </w:p>
    <w:p>
      <w:pPr>
        <w:adjustRightInd w:val="0"/>
        <w:spacing w:line="360" w:lineRule="auto"/>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理财产品管理人：兴银理财有限责任公司</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日期</w:t>
      </w:r>
      <w:r>
        <w:rPr>
          <w:rStyle w:val="10"/>
          <w:rFonts w:ascii="宋体" w:hAnsi="宋体" w:cs="Times New Roman"/>
          <w:sz w:val="32"/>
          <w:szCs w:val="32"/>
        </w:rPr>
        <w:t>：</w:t>
      </w:r>
      <w:r>
        <w:rPr>
          <w:rStyle w:val="10"/>
          <w:rFonts w:hint="eastAsia" w:ascii="宋体" w:hAnsi="宋体" w:cs="Times New Roman"/>
          <w:sz w:val="32"/>
          <w:szCs w:val="32"/>
        </w:rPr>
        <w:t>【2023】年【</w:t>
      </w:r>
      <w:r>
        <w:rPr>
          <w:rStyle w:val="10"/>
          <w:rFonts w:ascii="宋体" w:hAnsi="宋体" w:cs="Times New Roman"/>
          <w:sz w:val="32"/>
          <w:szCs w:val="32"/>
        </w:rPr>
        <w:t>11</w:t>
      </w:r>
      <w:r>
        <w:rPr>
          <w:rStyle w:val="10"/>
          <w:rFonts w:hint="eastAsia" w:ascii="宋体" w:hAnsi="宋体" w:cs="Times New Roman"/>
          <w:sz w:val="32"/>
          <w:szCs w:val="32"/>
        </w:rPr>
        <w:t>】月</w:t>
      </w:r>
    </w:p>
    <w:p>
      <w:pPr>
        <w:adjustRightInd w:val="0"/>
        <w:spacing w:line="360" w:lineRule="auto"/>
        <w:jc w:val="center"/>
        <w:rPr>
          <w:rStyle w:val="10"/>
          <w:rFonts w:ascii="宋体" w:hAnsi="宋体"/>
          <w:sz w:val="32"/>
          <w:szCs w:val="32"/>
        </w:rPr>
      </w:pPr>
    </w:p>
    <w:p>
      <w:pPr>
        <w:pStyle w:val="1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5"/>
            <w:spacing w:line="360" w:lineRule="auto"/>
            <w:jc w:val="center"/>
          </w:pPr>
          <w:bookmarkStart w:id="66" w:name="_Toc78276587"/>
          <w:r>
            <w:rPr>
              <w:lang w:val="zh-CN"/>
            </w:rPr>
            <w:t>目录</w:t>
          </w:r>
        </w:p>
        <w:p>
          <w:pPr>
            <w:pStyle w:val="5"/>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11"/>
              <w:rFonts w:hint="eastAsia" w:ascii="Times New Roman"/>
            </w:rPr>
            <w:t>第一条</w:t>
          </w:r>
          <w:r>
            <w:rPr>
              <w:rStyle w:val="11"/>
              <w:rFonts w:ascii="Times New Roman"/>
            </w:rPr>
            <w:t xml:space="preserve">  </w:t>
          </w:r>
          <w:r>
            <w:rPr>
              <w:rStyle w:val="11"/>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11"/>
              <w:rFonts w:hint="eastAsia" w:hAnsi="宋体"/>
            </w:rPr>
            <w:t>第二条</w:t>
          </w:r>
          <w:r>
            <w:rPr>
              <w:rStyle w:val="11"/>
              <w:rFonts w:hAnsi="宋体"/>
            </w:rPr>
            <w:t xml:space="preserve">  </w:t>
          </w:r>
          <w:r>
            <w:rPr>
              <w:rStyle w:val="11"/>
              <w:rFonts w:hint="eastAsia" w:hAnsi="宋体"/>
            </w:rPr>
            <w:t>理财产品基本情况</w:t>
          </w:r>
          <w:r>
            <w:rPr>
              <w:rStyle w:val="11"/>
              <w:rFonts w:hAnsi="宋体"/>
            </w:rPr>
            <w:t xml:space="preserve"> </w:t>
          </w:r>
          <w:r>
            <w:tab/>
          </w:r>
          <w:r>
            <w:fldChar w:fldCharType="begin"/>
          </w:r>
          <w:r>
            <w:instrText xml:space="preserve"> PAGEREF _Toc116649650 \h </w:instrText>
          </w:r>
          <w:r>
            <w:fldChar w:fldCharType="separate"/>
          </w:r>
          <w:r>
            <w:t>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11"/>
              <w:rFonts w:hint="eastAsia" w:ascii="Times New Roman"/>
            </w:rPr>
            <w:t>第三条</w:t>
          </w:r>
          <w:r>
            <w:rPr>
              <w:rStyle w:val="11"/>
              <w:rFonts w:ascii="Times New Roman"/>
            </w:rPr>
            <w:t xml:space="preserve">  </w:t>
          </w:r>
          <w:r>
            <w:rPr>
              <w:rStyle w:val="11"/>
              <w:rFonts w:hint="eastAsia" w:ascii="Times New Roman"/>
            </w:rPr>
            <w:t>理财产品的认购</w:t>
          </w:r>
          <w:r>
            <w:tab/>
          </w:r>
          <w:r>
            <w:fldChar w:fldCharType="begin"/>
          </w:r>
          <w:r>
            <w:instrText xml:space="preserve"> PAGEREF _Toc116649651 \h </w:instrText>
          </w:r>
          <w:r>
            <w:fldChar w:fldCharType="separate"/>
          </w:r>
          <w:r>
            <w:t>12</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11"/>
              <w:rFonts w:hint="eastAsia" w:ascii="Times New Roman"/>
            </w:rPr>
            <w:t>第四条</w:t>
          </w:r>
          <w:r>
            <w:rPr>
              <w:rStyle w:val="11"/>
              <w:rFonts w:ascii="Times New Roman"/>
            </w:rPr>
            <w:t xml:space="preserve">  </w:t>
          </w:r>
          <w:r>
            <w:rPr>
              <w:rStyle w:val="11"/>
              <w:rFonts w:hint="eastAsia" w:ascii="Times New Roman"/>
            </w:rPr>
            <w:t>理财产品的申购与赎回</w:t>
          </w:r>
          <w:r>
            <w:tab/>
          </w:r>
          <w:r>
            <w:fldChar w:fldCharType="begin"/>
          </w:r>
          <w:r>
            <w:instrText xml:space="preserve"> PAGEREF _Toc116649652 \h </w:instrText>
          </w:r>
          <w:r>
            <w:fldChar w:fldCharType="separate"/>
          </w:r>
          <w:r>
            <w:t>14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11"/>
              <w:rFonts w:hint="eastAsia" w:ascii="Times New Roman"/>
            </w:rPr>
            <w:t>第五条</w:t>
          </w:r>
          <w:r>
            <w:rPr>
              <w:rStyle w:val="11"/>
              <w:rFonts w:ascii="Times New Roman"/>
            </w:rPr>
            <w:t xml:space="preserve">  </w:t>
          </w:r>
          <w:r>
            <w:rPr>
              <w:rStyle w:val="11"/>
              <w:rFonts w:hint="eastAsia" w:ascii="Times New Roman"/>
            </w:rPr>
            <w:t>理财产品的投资</w:t>
          </w:r>
          <w:r>
            <w:tab/>
          </w:r>
          <w:r>
            <w:fldChar w:fldCharType="begin"/>
          </w:r>
          <w:r>
            <w:instrText xml:space="preserve"> PAGEREF _Toc116649653 \h </w:instrText>
          </w:r>
          <w:r>
            <w:fldChar w:fldCharType="separate"/>
          </w:r>
          <w:r>
            <w:t>15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11"/>
              <w:rFonts w:hint="eastAsia" w:ascii="Times New Roman"/>
            </w:rPr>
            <w:t>第六条</w:t>
          </w:r>
          <w:r>
            <w:rPr>
              <w:rStyle w:val="11"/>
              <w:rFonts w:ascii="Times New Roman"/>
            </w:rPr>
            <w:t xml:space="preserve">  </w:t>
          </w:r>
          <w:r>
            <w:rPr>
              <w:rStyle w:val="11"/>
              <w:rFonts w:hint="eastAsia" w:ascii="Times New Roman"/>
            </w:rPr>
            <w:t>理财产品的资产</w:t>
          </w:r>
          <w:r>
            <w:tab/>
          </w:r>
          <w:r>
            <w:fldChar w:fldCharType="begin"/>
          </w:r>
          <w:r>
            <w:instrText xml:space="preserve"> PAGEREF _Toc116649654 \h </w:instrText>
          </w:r>
          <w:r>
            <w:fldChar w:fldCharType="separate"/>
          </w:r>
          <w:r>
            <w:t>18</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11"/>
              <w:rFonts w:hint="eastAsia" w:ascii="Times New Roman"/>
            </w:rPr>
            <w:t>第七条</w:t>
          </w:r>
          <w:r>
            <w:rPr>
              <w:rStyle w:val="11"/>
              <w:rFonts w:ascii="Times New Roman"/>
            </w:rPr>
            <w:t xml:space="preserve">  </w:t>
          </w:r>
          <w:r>
            <w:rPr>
              <w:rStyle w:val="11"/>
              <w:rFonts w:hint="eastAsia" w:ascii="Times New Roman"/>
            </w:rPr>
            <w:t>理财产品项下资产的估值</w:t>
          </w:r>
          <w:r>
            <w:tab/>
          </w:r>
          <w:r>
            <w:fldChar w:fldCharType="begin"/>
          </w:r>
          <w:r>
            <w:instrText xml:space="preserve"> PAGEREF _Toc116649655 \h </w:instrText>
          </w:r>
          <w:r>
            <w:fldChar w:fldCharType="separate"/>
          </w:r>
          <w:r>
            <w:t>19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11"/>
              <w:rFonts w:hint="eastAsia" w:ascii="Times New Roman"/>
            </w:rPr>
            <w:t>第八条</w:t>
          </w:r>
          <w:r>
            <w:rPr>
              <w:rStyle w:val="11"/>
              <w:rFonts w:ascii="Times New Roman"/>
            </w:rPr>
            <w:t xml:space="preserve">  </w:t>
          </w:r>
          <w:r>
            <w:rPr>
              <w:rStyle w:val="11"/>
              <w:rFonts w:hint="eastAsia" w:ascii="Times New Roman"/>
            </w:rPr>
            <w:t>理财产品的利益分配</w:t>
          </w:r>
          <w:r>
            <w:tab/>
          </w:r>
          <w:r>
            <w:fldChar w:fldCharType="begin"/>
          </w:r>
          <w:r>
            <w:instrText xml:space="preserve"> PAGEREF _Toc116649656 \h </w:instrText>
          </w:r>
          <w:r>
            <w:fldChar w:fldCharType="separate"/>
          </w:r>
          <w:r>
            <w:t>23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11"/>
              <w:rFonts w:hint="eastAsia" w:ascii="Times New Roman"/>
            </w:rPr>
            <w:t>第九条</w:t>
          </w:r>
          <w:r>
            <w:rPr>
              <w:rStyle w:val="11"/>
              <w:rFonts w:ascii="Times New Roman"/>
            </w:rPr>
            <w:t xml:space="preserve">  </w:t>
          </w:r>
          <w:r>
            <w:rPr>
              <w:rStyle w:val="11"/>
              <w:rFonts w:hint="eastAsia" w:ascii="Times New Roman"/>
            </w:rPr>
            <w:t>理财产品的费用与税收</w:t>
          </w:r>
          <w:r>
            <w:tab/>
          </w:r>
          <w:r>
            <w:fldChar w:fldCharType="begin"/>
          </w:r>
          <w:r>
            <w:instrText xml:space="preserve"> PAGEREF _Toc116649657 \h </w:instrText>
          </w:r>
          <w:r>
            <w:fldChar w:fldCharType="separate"/>
          </w:r>
          <w:r>
            <w:t>24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11"/>
              <w:rFonts w:hint="eastAsia"/>
            </w:rPr>
            <w:t>第十条</w:t>
          </w:r>
          <w:r>
            <w:rPr>
              <w:rStyle w:val="11"/>
            </w:rPr>
            <w:t xml:space="preserve">  </w:t>
          </w:r>
          <w:r>
            <w:rPr>
              <w:rStyle w:val="11"/>
              <w:rFonts w:hint="eastAsia"/>
            </w:rPr>
            <w:t>理财产品的终止与清算</w:t>
          </w:r>
          <w:r>
            <w:tab/>
          </w:r>
          <w:r>
            <w:fldChar w:fldCharType="begin"/>
          </w:r>
          <w:r>
            <w:instrText xml:space="preserve"> PAGEREF _Toc116649658 \h </w:instrText>
          </w:r>
          <w:r>
            <w:fldChar w:fldCharType="separate"/>
          </w:r>
          <w:r>
            <w:t>27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11"/>
              <w:rFonts w:hint="eastAsia" w:ascii="Times New Roman"/>
            </w:rPr>
            <w:t>第十一条</w:t>
          </w:r>
          <w:r>
            <w:rPr>
              <w:rStyle w:val="11"/>
              <w:rFonts w:ascii="Times New Roman"/>
            </w:rPr>
            <w:t xml:space="preserve">  </w:t>
          </w:r>
          <w:r>
            <w:rPr>
              <w:rStyle w:val="11"/>
              <w:rFonts w:hint="eastAsia" w:ascii="Times New Roman"/>
            </w:rPr>
            <w:t>理财产品的信息披露</w:t>
          </w:r>
          <w:r>
            <w:tab/>
          </w:r>
          <w:r>
            <w:fldChar w:fldCharType="begin"/>
          </w:r>
          <w:r>
            <w:instrText xml:space="preserve"> PAGEREF _Toc116649659 \h </w:instrText>
          </w:r>
          <w:r>
            <w:fldChar w:fldCharType="separate"/>
          </w:r>
          <w:r>
            <w:t>29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11"/>
              <w:rFonts w:hint="eastAsia" w:ascii="Times New Roman"/>
            </w:rPr>
            <w:t>第十二条</w:t>
          </w:r>
          <w:r>
            <w:rPr>
              <w:rStyle w:val="11"/>
              <w:rFonts w:ascii="Times New Roman"/>
            </w:rPr>
            <w:t xml:space="preserve">  </w:t>
          </w:r>
          <w:r>
            <w:rPr>
              <w:rStyle w:val="11"/>
              <w:rFonts w:hint="eastAsia" w:ascii="Times New Roman"/>
            </w:rPr>
            <w:t>理财产品的风险揭示</w:t>
          </w:r>
          <w:r>
            <w:tab/>
          </w:r>
          <w:r>
            <w:fldChar w:fldCharType="begin"/>
          </w:r>
          <w:r>
            <w:instrText xml:space="preserve"> PAGEREF _Toc116649660 \h </w:instrText>
          </w:r>
          <w:r>
            <w:fldChar w:fldCharType="separate"/>
          </w:r>
          <w:r>
            <w:t>31</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：指产品管理人向投资者提供的，用于描述产品特征，约定权利义务的文件。具体指《兴银理财稳利安盈封闭式理财产品销售文件》，包括《投资协议书》、《产品说明书》、《（代理）销售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《投资协议书》：指管理人统一编制的《兴银理财稳利安盈封闭式理财产品投资协议书》，以及对该文件的有效修改或补充。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）《产品说明书》：指管理人统一编制的《兴银理财稳利安盈封闭式理财产品产品说明书》，以及对该文件的有效修改或补充。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（4）《（代理）销售协议书》：指管理人统一编制的《兴银理财稳利安盈封闭式理财产品（代理）销售协议书》或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的《兴银理财稳利安盈封闭式理财产品（代理）销售协议书》（文件名称以代理销售机构实际编制为准），以及对该文件的有效修改或补充。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）《风险揭示书》：指管理人统一编制的《兴银理财稳利安盈封闭式理财产品风险揭示书》或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的《兴银理财稳利安盈封闭式理财产品风险揭示书》（文件名称以代理销售机构实际编制为准），以及对该文件的有效修改或补充。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）《投资者权益须知》：指管理人统一编制的《兴银理财稳利安盈封闭式理财产品投资者权益须知》或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《兴银理财稳利安盈封闭式理财产品投资者权益须知》（文件名称以代理销售机构实际编制为准），以及对该文件的有效修改或补充。</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1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7"/>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兴银理财稳利安盈封闭式2023年60期固收类理财产品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稳利安盈封闭式2023年60期(季季兴)A】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稳利安盈封闭式2023年60期(季季兴)B】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sz w:val="18"/>
                <w:szCs w:val="18"/>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稳利安盈封闭式2023年60期(季季兴)C】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稳利安盈封闭式2023年60期(季季兴)D】</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ascii="宋体" w:hAnsi="宋体"/>
                <w:bCs/>
                <w:sz w:val="18"/>
                <w:szCs w:val="18"/>
              </w:rPr>
              <w:t>Z7002023001125</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9A123600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9A12360A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9A12360B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9A12360C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9A12360D</w:t>
            </w:r>
            <w:r>
              <w:rPr>
                <w:rFonts w:hint="eastAsia" w:ascii="宋体" w:hAnsi="宋体"/>
                <w:sz w:val="18"/>
                <w:szCs w:val="18"/>
              </w:rPr>
              <w:t>】（适用【</w:t>
            </w:r>
            <w:r>
              <w:rPr>
                <w:rFonts w:ascii="宋体" w:hAnsi="宋体"/>
                <w:sz w:val="18"/>
                <w:szCs w:val="18"/>
              </w:rPr>
              <w:t>D</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 直销适用</w:t>
            </w:r>
          </w:p>
          <w:p>
            <w:pPr>
              <w:spacing w:line="360" w:lineRule="auto"/>
              <w:rPr>
                <w:rFonts w:ascii="宋体" w:hAnsi="宋体"/>
                <w:sz w:val="18"/>
                <w:szCs w:val="18"/>
              </w:rPr>
            </w:pPr>
            <w:r>
              <w:rPr>
                <w:rFonts w:hint="eastAsia" w:ascii="宋体" w:hAnsi="宋体"/>
                <w:sz w:val="18"/>
                <w:szCs w:val="18"/>
              </w:rPr>
              <w:t>本产品由产品管理人销售。</w:t>
            </w:r>
          </w:p>
          <w:p>
            <w:pPr>
              <w:spacing w:line="360" w:lineRule="auto"/>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126天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】年【11</w:t>
            </w:r>
            <w:r>
              <w:rPr>
                <w:rFonts w:hint="eastAsia" w:cs="Times New Roman" w:asciiTheme="minorEastAsia" w:hAnsiTheme="minorEastAsia"/>
                <w:sz w:val="18"/>
                <w:szCs w:val="18"/>
              </w:rPr>
              <w:t>】月【</w:t>
            </w:r>
            <w:r>
              <w:rPr>
                <w:rFonts w:cs="Times New Roman" w:asciiTheme="minorEastAsia" w:hAnsiTheme="minorEastAsia"/>
                <w:sz w:val="18"/>
                <w:szCs w:val="18"/>
              </w:rPr>
              <w:t>8</w:t>
            </w:r>
            <w:r>
              <w:rPr>
                <w:rFonts w:hint="eastAsia" w:cs="Times New Roman" w:asciiTheme="minorEastAsia" w:hAnsiTheme="minorEastAsia"/>
                <w:sz w:val="18"/>
                <w:szCs w:val="18"/>
              </w:rPr>
              <w:t>】日【9：00】</w:t>
            </w:r>
            <w:r>
              <w:rPr>
                <w:rFonts w:hint="eastAsia" w:cs="仿宋_GB2312" w:asciiTheme="minorEastAsia" w:hAnsiTheme="minorEastAsia"/>
                <w:sz w:val="18"/>
                <w:szCs w:val="18"/>
              </w:rPr>
              <w:t>至</w:t>
            </w:r>
            <w:r>
              <w:rPr>
                <w:rFonts w:hint="eastAsia" w:cs="Times New Roman" w:asciiTheme="minorEastAsia" w:hAnsiTheme="minorEastAsia"/>
                <w:sz w:val="18"/>
                <w:szCs w:val="18"/>
              </w:rPr>
              <w:t>【2023</w:t>
            </w:r>
            <w:r>
              <w:rPr>
                <w:rFonts w:cs="Times New Roman" w:asciiTheme="minorEastAsia" w:hAnsiTheme="minorEastAsia"/>
                <w:sz w:val="18"/>
                <w:szCs w:val="18"/>
              </w:rPr>
              <w:t>】年【11</w:t>
            </w:r>
            <w:r>
              <w:rPr>
                <w:rFonts w:hint="eastAsia" w:cs="Times New Roman" w:asciiTheme="minorEastAsia" w:hAnsiTheme="minorEastAsia"/>
                <w:sz w:val="18"/>
                <w:szCs w:val="18"/>
              </w:rPr>
              <w:t>】月【</w:t>
            </w:r>
            <w:r>
              <w:rPr>
                <w:rFonts w:cs="Times New Roman" w:asciiTheme="minorEastAsia" w:hAnsiTheme="minorEastAsia"/>
                <w:sz w:val="18"/>
                <w:szCs w:val="18"/>
              </w:rPr>
              <w:t>14</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5</w:t>
            </w:r>
            <w:r>
              <w:rPr>
                <w:rFonts w:hint="eastAsia" w:asciiTheme="majorEastAsia" w:hAnsiTheme="majorEastAsia" w:eastAsiaTheme="majorEastAsia"/>
                <w:sz w:val="18"/>
                <w:szCs w:val="18"/>
              </w:rPr>
              <w:t>：00】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】年【11</w:t>
            </w:r>
            <w:r>
              <w:rPr>
                <w:rFonts w:hint="eastAsia" w:cs="Times New Roman" w:asciiTheme="minorEastAsia" w:hAnsiTheme="minorEastAsia"/>
                <w:sz w:val="18"/>
                <w:szCs w:val="18"/>
              </w:rPr>
              <w:t>】月【</w:t>
            </w:r>
            <w:r>
              <w:rPr>
                <w:rFonts w:cs="Times New Roman" w:asciiTheme="minorEastAsia" w:hAnsiTheme="minorEastAsia"/>
                <w:sz w:val="18"/>
                <w:szCs w:val="18"/>
              </w:rPr>
              <w:t>15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】年【3</w:t>
            </w:r>
            <w:r>
              <w:rPr>
                <w:rFonts w:hint="eastAsia" w:cs="Times New Roman" w:asciiTheme="minorEastAsia" w:hAnsiTheme="minorEastAsia"/>
                <w:sz w:val="18"/>
                <w:szCs w:val="18"/>
              </w:rPr>
              <w:t>】月【</w:t>
            </w:r>
            <w:r>
              <w:rPr>
                <w:rFonts w:cs="Times New Roman" w:asciiTheme="minorEastAsia" w:hAnsiTheme="minorEastAsia"/>
                <w:sz w:val="18"/>
                <w:szCs w:val="18"/>
              </w:rPr>
              <w:t>20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每笔购买起点金额为【1】元；超出起点金额的部分以【0.01】元的整数倍递增。（适用【A/</w:t>
            </w:r>
            <w:r>
              <w:rPr>
                <w:rFonts w:asciiTheme="majorEastAsia" w:hAnsiTheme="majorEastAsia" w:eastAsiaTheme="majorEastAsia"/>
                <w:sz w:val="18"/>
                <w:szCs w:val="18"/>
              </w:rPr>
              <w:t>B/C/D】</w:t>
            </w:r>
            <w:r>
              <w:rPr>
                <w:rFonts w:hint="eastAsia" w:hAnsi="宋体"/>
                <w:sz w:val="18"/>
                <w:szCs w:val="18"/>
              </w:rPr>
              <w:t>类份额</w:t>
            </w:r>
            <w:r>
              <w:rPr>
                <w:rFonts w:hAnsi="宋体"/>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14"/>
              <w:spacing w:line="360" w:lineRule="auto"/>
              <w:jc w:val="both"/>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A/</w:t>
            </w:r>
            <w:r>
              <w:rPr>
                <w:rFonts w:asciiTheme="majorEastAsia" w:hAnsiTheme="majorEastAsia" w:eastAsiaTheme="majorEastAsia"/>
                <w:sz w:val="18"/>
                <w:szCs w:val="18"/>
              </w:rPr>
              <w:t>B/C/D</w:t>
            </w:r>
            <w:r>
              <w:rPr>
                <w:rFonts w:hint="eastAsia" w:hAnsi="宋体"/>
                <w:bCs/>
                <w:sz w:val="18"/>
                <w:szCs w:val="18"/>
              </w:rPr>
              <w:t>】类</w:t>
            </w:r>
            <w:r>
              <w:rPr>
                <w:rFonts w:hAnsi="宋体"/>
                <w:bCs/>
                <w:sz w:val="18"/>
                <w:szCs w:val="18"/>
              </w:rPr>
              <w:t>份额</w:t>
            </w:r>
            <w:r>
              <w:rPr>
                <w:rFonts w:hint="eastAsia" w:hAnsi="宋体"/>
                <w:bCs/>
                <w:sz w:val="18"/>
                <w:szCs w:val="18"/>
              </w:rPr>
              <w:t>）</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rPr>
                <w:rFonts w:hAnsi="宋体"/>
                <w:b/>
                <w:sz w:val="18"/>
                <w:szCs w:val="18"/>
              </w:rPr>
            </w:pPr>
            <w:r>
              <w:rPr>
                <w:rFonts w:hAnsi="宋体"/>
                <w:b/>
                <w:sz w:val="18"/>
                <w:szCs w:val="18"/>
              </w:rPr>
              <w:t>1.业绩比较基准的设置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autoSpaceDE w:val="0"/>
              <w:autoSpaceDN w:val="0"/>
              <w:adjustRightInd w:val="0"/>
              <w:spacing w:line="360" w:lineRule="auto"/>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【产品投资债权类资产不低于80%，根据当前市场环境下大类资产合理配置比例及大类资产收益情况，考虑杠杆和费率等因素，并结合产品投资策略，设定业绩比较基准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85</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81</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71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D</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56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ascii="黑体" w:hAnsi="黑体" w:eastAsia="黑体"/>
                <w:bCs/>
                <w:sz w:val="18"/>
                <w:szCs w:val="18"/>
              </w:rPr>
              <w:t>业绩比较基准不代表理财产品未来表现，不等于理财产品实际收益，不作为产品收益的业绩保证，投资须谨慎。</w:t>
            </w:r>
          </w:p>
          <w:p>
            <w:pPr>
              <w:spacing w:line="360" w:lineRule="auto"/>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A/</w:t>
            </w:r>
            <w:r>
              <w:rPr>
                <w:rFonts w:asciiTheme="majorEastAsia" w:hAnsiTheme="majorEastAsia" w:eastAsiaTheme="majorEastAsia"/>
                <w:sz w:val="18"/>
                <w:szCs w:val="18"/>
              </w:rPr>
              <w:t>B/C/D</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w:t>
            </w:r>
          </w:p>
          <w:p>
            <w:pPr>
              <w:spacing w:line="360" w:lineRule="auto"/>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hint="eastAsia" w:ascii="黑体" w:hAnsi="黑体" w:eastAsia="黑体"/>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sz w:val="18"/>
                <w:szCs w:val="18"/>
              </w:rPr>
            </w:pPr>
            <w:r>
              <w:rPr>
                <w:rFonts w:hint="eastAsia" w:ascii="宋体" w:hAnsi="宋体"/>
                <w:bCs/>
                <w:color w:val="000000" w:themeColor="text1"/>
                <w:sz w:val="18"/>
                <w:szCs w:val="18"/>
                <w14:textFill>
                  <w14:solidFill>
                    <w14:schemeClr w14:val="tx1"/>
                  </w14:solidFill>
                </w14:textFill>
              </w:rPr>
              <w:t>A类份额：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05%</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jc w:val="left"/>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30%</w:t>
            </w:r>
            <w:r>
              <w:rPr>
                <w:rFonts w:hint="eastAsia" w:asciiTheme="majorEastAsia" w:hAnsiTheme="majorEastAsia" w:eastAsiaTheme="majorEastAsia"/>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【0.04%</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p>
          <w:p>
            <w:pPr>
              <w:widowControl/>
              <w:spacing w:line="360" w:lineRule="auto"/>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79154666"/>
      <w:bookmarkStart w:id="71" w:name="_Toc116649651"/>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8"/>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line="360" w:lineRule="auto"/>
        <w:jc w:val="center"/>
        <w:rPr>
          <w:rFonts w:ascii="Times New Roman"/>
          <w:sz w:val="30"/>
        </w:rPr>
      </w:pPr>
      <w:bookmarkStart w:id="75" w:name="_Toc116649652"/>
      <w:bookmarkStart w:id="76" w:name="_Toc4771"/>
      <w:bookmarkStart w:id="77" w:name="_Toc15203"/>
      <w:bookmarkStart w:id="78" w:name="_Toc16265"/>
      <w:bookmarkStart w:id="79" w:name="_Toc27189"/>
      <w:bookmarkStart w:id="80" w:name="_Toc90742321"/>
      <w:bookmarkStart w:id="81" w:name="_Toc79154668"/>
      <w:bookmarkStart w:id="82" w:name="_Toc29948"/>
      <w:bookmarkStart w:id="83" w:name="_Toc27226"/>
      <w:bookmarkStart w:id="84" w:name="_Toc6714"/>
      <w:bookmarkStart w:id="85" w:name="_Toc90742390"/>
      <w:bookmarkStart w:id="86" w:name="_Toc29784"/>
      <w:bookmarkStart w:id="87" w:name="_Toc3266"/>
      <w:bookmarkStart w:id="88" w:name="_Toc7151"/>
      <w:bookmarkStart w:id="89" w:name="_Toc90742688"/>
      <w:bookmarkStart w:id="90" w:name="_Toc22074"/>
      <w:bookmarkStart w:id="91" w:name="_Toc7406574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（4）国债期货、利率互换、债券借贷、信用风险缓释工具等；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（2）以套期保值、风险对冲为目的的国债期货、利率互换、信用风险缓释工具等衍生品占产品净资产比例低于10%。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（4）投资于同业存单及存款类资产的比例不低于产品净资产的50%。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1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（6）本产品投资于信用债券、银行存款、非标准化债权类资产融资人的信用评级均不得低于AA+。</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4"/>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【产品采取绝对收益策略，追求资产长期稳定增值。】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21988"/>
      <w:bookmarkStart w:id="94" w:name="_Toc18329"/>
      <w:bookmarkStart w:id="95" w:name="_Toc141703885"/>
      <w:bookmarkStart w:id="96" w:name="_Toc4741"/>
      <w:bookmarkStart w:id="97" w:name="_Toc139991735"/>
      <w:bookmarkStart w:id="98" w:name="_Toc26986"/>
      <w:bookmarkStart w:id="99" w:name="_Toc74065742"/>
      <w:bookmarkStart w:id="100" w:name="_Toc7848"/>
      <w:bookmarkStart w:id="101" w:name="_Toc79154669"/>
      <w:bookmarkStart w:id="102" w:name="_Toc18797"/>
      <w:bookmarkStart w:id="103" w:name="_Toc18526"/>
      <w:bookmarkStart w:id="104" w:name="_Toc1823"/>
      <w:bookmarkStart w:id="105" w:name="_Toc17912"/>
      <w:bookmarkStart w:id="106" w:name="_Toc14893"/>
      <w:bookmarkStart w:id="107" w:name="_Toc116649654"/>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4"/>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30"/>
        </w:rPr>
      </w:pPr>
      <w:bookmarkStart w:id="109" w:name="_Toc4003"/>
      <w:bookmarkStart w:id="110" w:name="_Toc1270"/>
      <w:bookmarkStart w:id="111" w:name="_Toc48649707"/>
      <w:bookmarkStart w:id="112" w:name="_Toc79154670"/>
      <w:bookmarkStart w:id="113" w:name="_Toc141703886"/>
      <w:bookmarkStart w:id="114" w:name="_Toc123051452"/>
      <w:bookmarkStart w:id="115" w:name="_Toc10463"/>
      <w:bookmarkStart w:id="116" w:name="_Toc610"/>
      <w:bookmarkStart w:id="117" w:name="_Toc20733"/>
      <w:bookmarkStart w:id="118" w:name="_Toc23261"/>
      <w:bookmarkStart w:id="119" w:name="_Toc17244"/>
      <w:bookmarkStart w:id="120" w:name="_Toc79392606"/>
      <w:bookmarkStart w:id="121" w:name="_Toc98560352"/>
      <w:bookmarkStart w:id="122" w:name="_Toc116649655"/>
      <w:bookmarkStart w:id="123" w:name="_Toc139991736"/>
      <w:bookmarkStart w:id="124" w:name="_Toc23822"/>
      <w:bookmarkStart w:id="125" w:name="_Toc123112234"/>
      <w:bookmarkStart w:id="126" w:name="_Toc74065743"/>
      <w:bookmarkStart w:id="127" w:name="_Toc7920"/>
      <w:bookmarkStart w:id="128" w:name="_Toc1427"/>
      <w:bookmarkStart w:id="129" w:name="_Toc12310245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1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4"/>
        <w:spacing w:line="360" w:lineRule="auto"/>
        <w:ind w:firstLine="361" w:firstLineChars="200"/>
        <w:rPr>
          <w:rFonts w:hAnsi="宋体"/>
          <w:b/>
          <w:bCs/>
          <w:sz w:val="18"/>
          <w:szCs w:val="18"/>
        </w:rPr>
      </w:pPr>
      <w:r>
        <w:rPr>
          <w:rFonts w:hint="eastAsia" w:hAnsi="宋体"/>
          <w:b/>
          <w:bCs/>
          <w:sz w:val="18"/>
          <w:szCs w:val="18"/>
        </w:rPr>
        <w:t>（一）估值目的</w:t>
      </w:r>
    </w:p>
    <w:p>
      <w:pPr>
        <w:pStyle w:val="1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14"/>
        <w:spacing w:line="360" w:lineRule="auto"/>
        <w:ind w:firstLine="361" w:firstLineChars="200"/>
        <w:rPr>
          <w:rFonts w:hAnsi="宋体"/>
          <w:b/>
          <w:bCs/>
          <w:sz w:val="18"/>
          <w:szCs w:val="18"/>
        </w:rPr>
      </w:pPr>
      <w:r>
        <w:rPr>
          <w:rFonts w:hint="eastAsia" w:hAnsi="宋体"/>
          <w:b/>
          <w:bCs/>
          <w:sz w:val="18"/>
          <w:szCs w:val="18"/>
        </w:rPr>
        <w:t>（二）估值频率</w:t>
      </w:r>
    </w:p>
    <w:p>
      <w:pPr>
        <w:pStyle w:val="14"/>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14"/>
        <w:spacing w:line="360" w:lineRule="auto"/>
        <w:ind w:firstLine="452" w:firstLineChars="250"/>
        <w:rPr>
          <w:rFonts w:hAnsi="宋体"/>
          <w:b/>
          <w:bCs/>
          <w:sz w:val="18"/>
          <w:szCs w:val="18"/>
        </w:rPr>
      </w:pPr>
      <w:r>
        <w:rPr>
          <w:rFonts w:hint="eastAsia" w:hAnsi="宋体"/>
          <w:b/>
          <w:bCs/>
          <w:sz w:val="18"/>
          <w:szCs w:val="18"/>
        </w:rPr>
        <w:t>（三）估值对象</w:t>
      </w:r>
    </w:p>
    <w:p>
      <w:pPr>
        <w:pStyle w:val="1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14"/>
        <w:spacing w:line="360" w:lineRule="auto"/>
        <w:ind w:firstLine="452" w:firstLineChars="250"/>
        <w:rPr>
          <w:rFonts w:hAnsi="宋体"/>
          <w:b/>
          <w:bCs/>
          <w:sz w:val="18"/>
          <w:szCs w:val="18"/>
        </w:rPr>
      </w:pPr>
      <w:r>
        <w:rPr>
          <w:rFonts w:hint="eastAsia" w:hAnsi="宋体"/>
          <w:b/>
          <w:bCs/>
          <w:sz w:val="18"/>
          <w:szCs w:val="18"/>
        </w:rPr>
        <w:t>（四）估值方法</w:t>
      </w:r>
    </w:p>
    <w:p>
      <w:pPr>
        <w:pStyle w:val="1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1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1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1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1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1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1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1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1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1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1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1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1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1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1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1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1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14"/>
        <w:spacing w:line="360" w:lineRule="auto"/>
        <w:ind w:firstLine="360" w:firstLineChars="200"/>
        <w:rPr>
          <w:rFonts w:hAnsi="宋体"/>
          <w:sz w:val="18"/>
          <w:szCs w:val="18"/>
        </w:rPr>
      </w:pPr>
      <w:r>
        <w:rPr>
          <w:rFonts w:hint="eastAsia" w:hAnsi="宋体"/>
          <w:sz w:val="18"/>
          <w:szCs w:val="18"/>
        </w:rPr>
        <w:t>（1）非上市基金估值</w:t>
      </w:r>
    </w:p>
    <w:p>
      <w:pPr>
        <w:pStyle w:val="1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14"/>
        <w:spacing w:line="360" w:lineRule="auto"/>
        <w:ind w:firstLine="360" w:firstLineChars="200"/>
        <w:rPr>
          <w:rFonts w:hAnsi="宋体"/>
          <w:sz w:val="18"/>
          <w:szCs w:val="18"/>
        </w:rPr>
      </w:pPr>
      <w:r>
        <w:rPr>
          <w:rFonts w:hint="eastAsia" w:hAnsi="宋体"/>
          <w:sz w:val="18"/>
          <w:szCs w:val="18"/>
        </w:rPr>
        <w:t>（2）上市基金估值</w:t>
      </w:r>
    </w:p>
    <w:p>
      <w:pPr>
        <w:pStyle w:val="1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1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1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1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1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1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1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1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14"/>
        <w:spacing w:line="360" w:lineRule="auto"/>
        <w:ind w:firstLine="361" w:firstLineChars="200"/>
        <w:rPr>
          <w:rFonts w:hAnsi="宋体"/>
          <w:b/>
          <w:bCs/>
          <w:sz w:val="18"/>
          <w:szCs w:val="18"/>
        </w:rPr>
      </w:pPr>
      <w:r>
        <w:rPr>
          <w:rFonts w:hint="eastAsia" w:hAnsi="宋体"/>
          <w:b/>
          <w:bCs/>
          <w:sz w:val="18"/>
          <w:szCs w:val="18"/>
        </w:rPr>
        <w:t>（五）估值程序</w:t>
      </w:r>
    </w:p>
    <w:p>
      <w:pPr>
        <w:pStyle w:val="1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1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1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14"/>
        <w:spacing w:line="360" w:lineRule="auto"/>
        <w:ind w:firstLine="361" w:firstLineChars="200"/>
        <w:rPr>
          <w:rFonts w:hAnsi="宋体"/>
          <w:b/>
          <w:bCs/>
          <w:sz w:val="18"/>
          <w:szCs w:val="18"/>
        </w:rPr>
      </w:pPr>
      <w:r>
        <w:rPr>
          <w:rFonts w:hint="eastAsia" w:hAnsi="宋体"/>
          <w:b/>
          <w:bCs/>
          <w:sz w:val="18"/>
          <w:szCs w:val="18"/>
        </w:rPr>
        <w:t>（六）估值主体</w:t>
      </w:r>
    </w:p>
    <w:p>
      <w:pPr>
        <w:pStyle w:val="1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130" w:name="_Hlt70481650"/>
      <w:bookmarkEnd w:id="130"/>
      <w:bookmarkStart w:id="131" w:name="_Toc123102454"/>
      <w:bookmarkStart w:id="132" w:name="_Toc116649656"/>
      <w:bookmarkStart w:id="133" w:name="_Toc79154671"/>
      <w:bookmarkStart w:id="134" w:name="_Toc3601"/>
      <w:bookmarkStart w:id="135" w:name="_Toc29251"/>
      <w:bookmarkStart w:id="136" w:name="_Toc14835"/>
      <w:bookmarkStart w:id="137" w:name="_Toc98560353"/>
      <w:bookmarkStart w:id="138" w:name="_Toc123112235"/>
      <w:bookmarkStart w:id="139" w:name="_Toc123051453"/>
      <w:bookmarkStart w:id="140" w:name="_Toc139991737"/>
      <w:bookmarkStart w:id="141" w:name="_Toc15143"/>
      <w:bookmarkStart w:id="142" w:name="_Toc31235"/>
      <w:bookmarkStart w:id="143" w:name="_Toc31653"/>
      <w:bookmarkStart w:id="144" w:name="_Toc74065744"/>
      <w:bookmarkStart w:id="145" w:name="_Toc6405"/>
      <w:bookmarkStart w:id="146" w:name="_Toc31644"/>
      <w:bookmarkStart w:id="147" w:name="_Toc12245"/>
      <w:bookmarkStart w:id="148" w:name="_Toc26207"/>
      <w:bookmarkStart w:id="149" w:name="_Toc14170388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79392580"/>
      <w:bookmarkStart w:id="152" w:name="_Toc57530239"/>
      <w:bookmarkStart w:id="153" w:name="_Toc15118234"/>
      <w:bookmarkStart w:id="154" w:name="_Toc523711668"/>
    </w:p>
    <w:p>
      <w:pPr>
        <w:pStyle w:val="1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line="360" w:lineRule="auto"/>
        <w:jc w:val="center"/>
        <w:rPr>
          <w:rFonts w:ascii="Times New Roman"/>
          <w:sz w:val="30"/>
        </w:rPr>
      </w:pPr>
      <w:bookmarkStart w:id="155" w:name="_Hlt88897298"/>
      <w:bookmarkEnd w:id="155"/>
      <w:bookmarkStart w:id="156" w:name="_Hlt88825574"/>
      <w:bookmarkEnd w:id="156"/>
      <w:bookmarkStart w:id="157" w:name="_Toc11030"/>
      <w:bookmarkStart w:id="158" w:name="_Toc9706"/>
      <w:bookmarkStart w:id="159" w:name="_Toc98560354"/>
      <w:bookmarkStart w:id="160" w:name="_Toc123112236"/>
      <w:bookmarkStart w:id="161" w:name="_Toc79392583"/>
      <w:bookmarkStart w:id="162" w:name="_Toc3321"/>
      <w:bookmarkStart w:id="163" w:name="_Toc116649657"/>
      <w:bookmarkStart w:id="164" w:name="_Toc79154672"/>
      <w:bookmarkStart w:id="165" w:name="_Toc10650"/>
      <w:bookmarkStart w:id="166" w:name="_Toc74065745"/>
      <w:bookmarkStart w:id="167" w:name="_Toc18567"/>
      <w:bookmarkStart w:id="168" w:name="_Toc141703888"/>
      <w:bookmarkStart w:id="169" w:name="_Toc123051454"/>
      <w:bookmarkStart w:id="170" w:name="_Toc6447"/>
      <w:bookmarkStart w:id="171" w:name="_Toc3771"/>
      <w:bookmarkStart w:id="172" w:name="_Toc7058"/>
      <w:bookmarkStart w:id="173" w:name="_Toc25783"/>
      <w:bookmarkStart w:id="174" w:name="_Toc123102455"/>
      <w:bookmarkStart w:id="175" w:name="_Toc4559"/>
      <w:bookmarkStart w:id="176" w:name="_Toc139991738"/>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77" w:name="_Toc3963"/>
      <w:bookmarkStart w:id="178" w:name="_Toc1745"/>
      <w:r>
        <w:br w:type="page"/>
      </w:r>
      <w:bookmarkStart w:id="179" w:name="_Toc79154673"/>
      <w:bookmarkStart w:id="180" w:name="_Toc21735"/>
      <w:bookmarkStart w:id="181" w:name="_Toc123051455"/>
      <w:bookmarkStart w:id="182" w:name="_Toc31821"/>
      <w:bookmarkStart w:id="183" w:name="_Toc123102456"/>
      <w:bookmarkStart w:id="184" w:name="_Toc139991739"/>
      <w:bookmarkStart w:id="185" w:name="_Toc141703889"/>
      <w:bookmarkStart w:id="186" w:name="_Toc725"/>
      <w:bookmarkStart w:id="187" w:name="_Toc3080"/>
      <w:bookmarkStart w:id="188" w:name="_Toc116649658"/>
      <w:bookmarkStart w:id="189" w:name="_Toc10398"/>
      <w:bookmarkStart w:id="190" w:name="_Toc123112237"/>
      <w:bookmarkStart w:id="191" w:name="_Toc3572"/>
      <w:bookmarkStart w:id="192" w:name="_Toc74065746"/>
      <w:bookmarkStart w:id="193" w:name="_Toc18206"/>
      <w:bookmarkStart w:id="194" w:name="_Toc98560355"/>
      <w:bookmarkStart w:id="195" w:name="_Toc16164"/>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15118245"/>
      <w:bookmarkStart w:id="197" w:name="_Toc79392593"/>
      <w:bookmarkStart w:id="198"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96"/>
    <w:bookmarkEnd w:id="197"/>
    <w:bookmarkEnd w:id="198"/>
    <w:p>
      <w:pPr>
        <w:pStyle w:val="2"/>
        <w:spacing w:before="0" w:after="0" w:line="360" w:lineRule="auto"/>
        <w:jc w:val="center"/>
        <w:rPr>
          <w:rFonts w:ascii="Times New Roman"/>
          <w:sz w:val="30"/>
        </w:rPr>
      </w:pPr>
      <w:r>
        <w:rPr>
          <w:rFonts w:ascii="Times New Roman"/>
          <w:b w:val="0"/>
          <w:bCs w:val="0"/>
          <w:kern w:val="2"/>
        </w:rPr>
        <w:br w:type="page"/>
      </w:r>
      <w:bookmarkStart w:id="199" w:name="_Toc32584"/>
      <w:bookmarkStart w:id="200" w:name="_Toc79154674"/>
      <w:bookmarkStart w:id="201" w:name="_Toc123102457"/>
      <w:bookmarkStart w:id="202" w:name="_Toc8791"/>
      <w:bookmarkStart w:id="203" w:name="_Toc32092"/>
      <w:bookmarkStart w:id="204" w:name="_Toc29408"/>
      <w:bookmarkStart w:id="205" w:name="_Toc79392622"/>
      <w:bookmarkStart w:id="206" w:name="_Toc17920"/>
      <w:bookmarkStart w:id="207" w:name="_Toc123051456"/>
      <w:bookmarkStart w:id="208" w:name="_Toc5170"/>
      <w:bookmarkStart w:id="209" w:name="_Toc123112238"/>
      <w:bookmarkStart w:id="210" w:name="_Toc17198"/>
      <w:bookmarkStart w:id="211" w:name="_Toc141703890"/>
      <w:bookmarkStart w:id="212" w:name="_Toc48649708"/>
      <w:bookmarkStart w:id="213" w:name="_Toc74065747"/>
      <w:bookmarkStart w:id="214" w:name="_Toc139991740"/>
      <w:bookmarkStart w:id="215" w:name="_Toc21237"/>
      <w:bookmarkStart w:id="216" w:name="_Toc739"/>
      <w:bookmarkStart w:id="217" w:name="_Toc116649659"/>
      <w:bookmarkStart w:id="218" w:name="_Toc98560356"/>
      <w:bookmarkStart w:id="219" w:name="_Toc332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220" w:name="_Toc116649660"/>
      <w:bookmarkStart w:id="221"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
      <w:pPr>
        <w:pStyle w:val="12"/>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8"/>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jc w:val="center"/>
              <w:rPr>
                <w:rFonts w:ascii="宋体" w:hAnsi="宋体" w:cs="Arial"/>
                <w:b/>
                <w:szCs w:val="21"/>
              </w:rPr>
            </w:pPr>
            <w:r>
              <w:rPr>
                <w:rFonts w:hint="eastAsia" w:ascii="宋体" w:hAnsi="宋体" w:cs="Arial"/>
                <w:b/>
                <w:szCs w:val="21"/>
              </w:rPr>
              <w:t>投资者确认栏</w:t>
            </w:r>
          </w:p>
          <w:p>
            <w:pPr>
              <w:spacing w:line="360" w:lineRule="auto"/>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rPr>
                <w:b/>
                <w:sz w:val="18"/>
                <w:szCs w:val="18"/>
              </w:rPr>
            </w:pPr>
            <w:r>
              <w:rPr>
                <w:rFonts w:hint="eastAsia"/>
                <w:b/>
                <w:sz w:val="18"/>
                <w:szCs w:val="18"/>
              </w:rPr>
              <w:t>个人投资者适用</w:t>
            </w:r>
          </w:p>
        </w:tc>
        <w:tc>
          <w:tcPr>
            <w:tcW w:w="7371" w:type="dxa"/>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rPr>
                <w:b/>
                <w:sz w:val="18"/>
                <w:szCs w:val="18"/>
              </w:rPr>
            </w:pPr>
            <w:r>
              <w:rPr>
                <w:rFonts w:hint="eastAsia"/>
                <w:b/>
                <w:sz w:val="18"/>
                <w:szCs w:val="18"/>
              </w:rPr>
              <w:t>机构投资者适用</w:t>
            </w:r>
          </w:p>
        </w:tc>
        <w:tc>
          <w:tcPr>
            <w:tcW w:w="7371" w:type="dxa"/>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7" w:type="default"/>
          <w:footerReference r:id="rId8" w:type="default"/>
          <w:pgSz w:w="11906" w:h="16838"/>
          <w:pgMar w:top="1276" w:right="1800" w:bottom="1418" w:left="1800" w:header="567" w:footer="964" w:gutter="0"/>
          <w:pgNumType w:start="1"/>
          <w:cols w:space="425" w:num="1"/>
          <w:docGrid w:type="lines" w:linePitch="312" w:charSpace="0"/>
        </w:sect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before="156"/>
        <w:jc w:val="center"/>
        <w:rPr>
          <w:rFonts w:ascii="黑体" w:hAnsi="黑体" w:eastAsia="黑体"/>
          <w:b/>
          <w:bCs/>
          <w:sz w:val="28"/>
          <w:szCs w:val="28"/>
        </w:rPr>
      </w:pPr>
      <w:r>
        <w:rPr>
          <w:rFonts w:hint="eastAsia" w:ascii="黑体" w:hAnsi="黑体" w:eastAsia="黑体"/>
          <w:b/>
          <w:bCs/>
          <w:sz w:val="28"/>
          <w:szCs w:val="28"/>
        </w:rPr>
        <w:t>兴银理财【稳利安盈】封闭式理财产品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7"/>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14"/>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w:t>
      </w:r>
      <w:r>
        <w:rPr>
          <w:rFonts w:hint="eastAsia" w:ascii="宋体" w:hAnsi="宋体" w:cs="仿宋_GB2312"/>
          <w:kern w:val="0"/>
          <w:sz w:val="18"/>
          <w:szCs w:val="18"/>
          <w:lang w:val="en-US" w:eastAsia="zh-CN"/>
        </w:rPr>
        <w:t>根据理财产品投资范围、风险收益特点、流动性等不同因素，乙方作为销售机构将理财产品分为</w:t>
      </w:r>
      <w:r>
        <w:rPr>
          <w:rFonts w:hint="eastAsia" w:ascii="宋体" w:hAnsi="宋体" w:cs="仿宋_GB2312"/>
          <w:color w:val="FF0000"/>
          <w:kern w:val="0"/>
          <w:sz w:val="18"/>
          <w:szCs w:val="18"/>
          <w:lang w:val="en-US" w:eastAsia="zh-CN"/>
        </w:rPr>
        <w:t>【5】</w:t>
      </w:r>
      <w:r>
        <w:rPr>
          <w:rFonts w:hint="eastAsia" w:ascii="宋体" w:hAnsi="宋体" w:cs="仿宋_GB2312"/>
          <w:kern w:val="0"/>
          <w:sz w:val="18"/>
          <w:szCs w:val="18"/>
          <w:lang w:val="en-US" w:eastAsia="zh-CN"/>
        </w:rPr>
        <w:t>个风险等级：【R1（低风险）、R2（中低风险）、R3（中等风险）、R4（中高风险）、R5（高风险）】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若干等级。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4"/>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兴银理财稳利安盈封闭式</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兴银理财稳利安盈封闭式2023年60期固收类理财产品</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w:t>
      </w:r>
      <w:r>
        <w:rPr>
          <w:rFonts w:asciiTheme="majorEastAsia" w:hAnsiTheme="majorEastAsia" w:eastAsiaTheme="majorEastAsia"/>
          <w:bCs/>
          <w:kern w:val="0"/>
          <w:sz w:val="18"/>
          <w:szCs w:val="18"/>
        </w:rPr>
        <w:t>60</w:t>
      </w:r>
      <w:r>
        <w:rPr>
          <w:rFonts w:hint="eastAsia" w:asciiTheme="majorEastAsia" w:hAnsiTheme="majorEastAsia" w:eastAsiaTheme="majorEastAsia"/>
          <w:bCs/>
          <w:kern w:val="0"/>
          <w:sz w:val="18"/>
          <w:szCs w:val="18"/>
        </w:rPr>
        <w:t>期（季季兴）A】（适用【A】类份额）</w:t>
      </w:r>
    </w:p>
    <w:p>
      <w:pPr>
        <w:ind w:firstLine="448" w:firstLineChars="249"/>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w:t>
      </w:r>
      <w:r>
        <w:rPr>
          <w:rFonts w:asciiTheme="majorEastAsia" w:hAnsiTheme="majorEastAsia" w:eastAsiaTheme="majorEastAsia"/>
          <w:bCs/>
          <w:kern w:val="0"/>
          <w:sz w:val="18"/>
          <w:szCs w:val="18"/>
        </w:rPr>
        <w:t>60</w:t>
      </w:r>
      <w:r>
        <w:rPr>
          <w:rFonts w:hint="eastAsia" w:asciiTheme="majorEastAsia" w:hAnsiTheme="majorEastAsia" w:eastAsiaTheme="majorEastAsia"/>
          <w:bCs/>
          <w:kern w:val="0"/>
          <w:sz w:val="18"/>
          <w:szCs w:val="18"/>
        </w:rPr>
        <w:t>期（季季兴）B】（适用【B】类份额）</w:t>
      </w:r>
    </w:p>
    <w:p>
      <w:pPr>
        <w:ind w:firstLine="448" w:firstLineChars="249"/>
        <w:rPr>
          <w:rFonts w:ascii="宋体" w:hAnsi="宋体" w:cs="仿宋_GB2312"/>
          <w:kern w:val="0"/>
          <w:sz w:val="18"/>
          <w:szCs w:val="18"/>
        </w:rPr>
      </w:pPr>
      <w:r>
        <w:rPr>
          <w:rFonts w:hint="eastAsia" w:asciiTheme="majorEastAsia" w:hAnsiTheme="majorEastAsia" w:eastAsiaTheme="majorEastAsia"/>
          <w:bCs/>
          <w:kern w:val="0"/>
          <w:sz w:val="18"/>
          <w:szCs w:val="18"/>
        </w:rPr>
        <w:t>【稳利安盈封闭式2023年</w:t>
      </w:r>
      <w:r>
        <w:rPr>
          <w:rFonts w:asciiTheme="majorEastAsia" w:hAnsiTheme="majorEastAsia" w:eastAsiaTheme="majorEastAsia"/>
          <w:bCs/>
          <w:kern w:val="0"/>
          <w:sz w:val="18"/>
          <w:szCs w:val="18"/>
        </w:rPr>
        <w:t>60</w:t>
      </w:r>
      <w:r>
        <w:rPr>
          <w:rFonts w:hint="eastAsia" w:asciiTheme="majorEastAsia" w:hAnsiTheme="majorEastAsia" w:eastAsiaTheme="majorEastAsia"/>
          <w:bCs/>
          <w:kern w:val="0"/>
          <w:sz w:val="18"/>
          <w:szCs w:val="18"/>
        </w:rPr>
        <w:t>期（季季兴）C】（适用【C】类份额）</w:t>
      </w:r>
    </w:p>
    <w:p>
      <w:pPr>
        <w:ind w:firstLine="448" w:firstLineChars="249"/>
        <w:rPr>
          <w:rFonts w:ascii="宋体" w:hAnsi="宋体" w:cs="仿宋_GB2312"/>
          <w:kern w:val="0"/>
          <w:sz w:val="18"/>
          <w:szCs w:val="18"/>
        </w:rPr>
      </w:pPr>
      <w:r>
        <w:rPr>
          <w:rFonts w:hint="eastAsia" w:asciiTheme="majorEastAsia" w:hAnsiTheme="majorEastAsia" w:eastAsiaTheme="majorEastAsia"/>
          <w:bCs/>
          <w:kern w:val="0"/>
          <w:sz w:val="18"/>
          <w:szCs w:val="18"/>
        </w:rPr>
        <w:t>【稳利安盈封闭式2023年</w:t>
      </w:r>
      <w:r>
        <w:rPr>
          <w:rFonts w:asciiTheme="majorEastAsia" w:hAnsiTheme="majorEastAsia" w:eastAsiaTheme="majorEastAsia"/>
          <w:bCs/>
          <w:kern w:val="0"/>
          <w:sz w:val="18"/>
          <w:szCs w:val="18"/>
        </w:rPr>
        <w:t>60</w:t>
      </w:r>
      <w:r>
        <w:rPr>
          <w:rFonts w:hint="eastAsia" w:asciiTheme="majorEastAsia" w:hAnsiTheme="majorEastAsia" w:eastAsiaTheme="majorEastAsia"/>
          <w:bCs/>
          <w:kern w:val="0"/>
          <w:sz w:val="18"/>
          <w:szCs w:val="18"/>
        </w:rPr>
        <w:t>期（季季兴）</w:t>
      </w:r>
      <w:r>
        <w:rPr>
          <w:rFonts w:asciiTheme="majorEastAsia" w:hAnsiTheme="majorEastAsia" w:eastAsiaTheme="majorEastAsia"/>
          <w:bCs/>
          <w:kern w:val="0"/>
          <w:sz w:val="18"/>
          <w:szCs w:val="18"/>
        </w:rPr>
        <w:t>D</w:t>
      </w:r>
      <w:r>
        <w:rPr>
          <w:rFonts w:hint="eastAsia" w:asciiTheme="majorEastAsia" w:hAnsiTheme="majorEastAsia" w:eastAsiaTheme="majorEastAsia"/>
          <w:bCs/>
          <w:kern w:val="0"/>
          <w:sz w:val="18"/>
          <w:szCs w:val="18"/>
        </w:rPr>
        <w:t>】（适用【</w:t>
      </w:r>
      <w:r>
        <w:rPr>
          <w:rFonts w:asciiTheme="majorEastAsia" w:hAnsiTheme="majorEastAsia" w:eastAsiaTheme="majorEastAsia"/>
          <w:bCs/>
          <w:kern w:val="0"/>
          <w:sz w:val="18"/>
          <w:szCs w:val="18"/>
        </w:rPr>
        <w:t>D</w:t>
      </w:r>
      <w:r>
        <w:rPr>
          <w:rFonts w:hint="eastAsia" w:asciiTheme="majorEastAsia" w:hAnsiTheme="majorEastAsia" w:eastAsiaTheme="majorEastAsia"/>
          <w:bCs/>
          <w:kern w:val="0"/>
          <w:sz w:val="18"/>
          <w:szCs w:val="18"/>
        </w:rPr>
        <w:t>】类份额）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Z7002023001125</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【公募、封闭式、固定收益类、非保本浮动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26</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2"/>
        <w:ind w:firstLine="360"/>
        <w:rPr>
          <w:rFonts w:ascii="宋体" w:hAnsi="宋体"/>
          <w:bCs/>
          <w:sz w:val="18"/>
          <w:szCs w:val="18"/>
        </w:rPr>
      </w:pPr>
      <w:r>
        <w:rPr>
          <w:rFonts w:hint="eastAsia" w:ascii="宋体" w:hAnsi="宋体"/>
          <w:bCs/>
          <w:sz w:val="18"/>
          <w:szCs w:val="18"/>
        </w:rPr>
        <w:t>1、拟投资市场和资产的风险：</w:t>
      </w:r>
    </w:p>
    <w:p>
      <w:pPr>
        <w:pStyle w:val="12"/>
        <w:ind w:firstLine="360"/>
        <w:rPr>
          <w:rFonts w:ascii="宋体" w:hAnsi="宋体"/>
          <w:bCs/>
          <w:sz w:val="18"/>
          <w:szCs w:val="18"/>
        </w:rPr>
      </w:pPr>
      <w:r>
        <w:rPr>
          <w:rFonts w:hint="eastAsia" w:ascii="宋体" w:hAnsi="宋体"/>
          <w:bCs/>
          <w:sz w:val="18"/>
          <w:szCs w:val="18"/>
        </w:rPr>
        <w:t>（1）投资债权类资产的风险</w:t>
      </w:r>
    </w:p>
    <w:p>
      <w:pPr>
        <w:pStyle w:val="12"/>
        <w:ind w:firstLine="360"/>
        <w:rPr>
          <w:rFonts w:ascii="宋体" w:hAnsi="宋体"/>
          <w:bCs/>
          <w:sz w:val="18"/>
          <w:szCs w:val="18"/>
        </w:rPr>
      </w:pPr>
      <w:r>
        <w:rPr>
          <w:rFonts w:hint="eastAsia" w:ascii="宋体" w:hAnsi="宋体"/>
          <w:bCs/>
          <w:sz w:val="18"/>
          <w:szCs w:val="18"/>
        </w:rPr>
        <w:t>1）投资标准化债权类资产的风险</w:t>
      </w:r>
    </w:p>
    <w:p>
      <w:pPr>
        <w:pStyle w:val="12"/>
        <w:ind w:firstLine="36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2"/>
        <w:ind w:firstLine="360"/>
        <w:rPr>
          <w:rFonts w:ascii="宋体" w:hAnsi="宋体"/>
          <w:bCs/>
          <w:sz w:val="18"/>
          <w:szCs w:val="18"/>
        </w:rPr>
      </w:pPr>
      <w:r>
        <w:rPr>
          <w:rFonts w:hint="eastAsia" w:ascii="宋体" w:hAnsi="宋体"/>
          <w:bCs/>
          <w:sz w:val="18"/>
          <w:szCs w:val="18"/>
        </w:rPr>
        <w:t>2）投资非标准化债权类资产的风险</w:t>
      </w:r>
    </w:p>
    <w:p>
      <w:pPr>
        <w:pStyle w:val="12"/>
        <w:ind w:firstLine="36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2"/>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2"/>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2"/>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2"/>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2"/>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2"/>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2"/>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2"/>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2"/>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2"/>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2"/>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2"/>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2"/>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2"/>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2"/>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2"/>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2"/>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2"/>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2"/>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2"/>
        <w:ind w:firstLineChars="0"/>
        <w:rPr>
          <w:rFonts w:ascii="宋体" w:hAnsi="宋体"/>
          <w:b/>
          <w:bCs/>
          <w:sz w:val="18"/>
          <w:szCs w:val="18"/>
        </w:rPr>
      </w:pPr>
      <w:r>
        <w:rPr>
          <w:rFonts w:hint="eastAsia" w:ascii="宋体" w:hAnsi="宋体"/>
          <w:b/>
          <w:bCs/>
          <w:sz w:val="18"/>
          <w:szCs w:val="18"/>
        </w:rPr>
        <w:t>17.关联交易风险</w:t>
      </w:r>
    </w:p>
    <w:p>
      <w:pPr>
        <w:pStyle w:val="12"/>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 xml:space="preserve">销售机构（【 </w:t>
      </w:r>
      <w:r>
        <w:rPr>
          <w:rFonts w:hint="eastAsia" w:ascii="宋体" w:hAnsi="宋体"/>
          <w:sz w:val="18"/>
          <w:szCs w:val="18"/>
          <w:lang w:val="en-US" w:eastAsia="zh-CN"/>
        </w:rPr>
        <w:t>福建省农村信用社联合社</w:t>
      </w:r>
      <w:r>
        <w:rPr>
          <w:rFonts w:ascii="宋体" w:hAnsi="宋体"/>
          <w:sz w:val="18"/>
          <w:szCs w:val="18"/>
        </w:rPr>
        <w:t xml:space="preserve"> </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1" w:type="default"/>
          <w:footerReference r:id="rId12"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numPr>
          <w:ilvl w:val="0"/>
          <w:numId w:val="1"/>
        </w:numPr>
        <w:autoSpaceDE w:val="0"/>
        <w:autoSpaceDN w:val="0"/>
        <w:adjustRightInd w:val="0"/>
        <w:spacing w:line="280" w:lineRule="atLeast"/>
        <w:ind w:firstLine="360" w:firstLineChars="200"/>
        <w:jc w:val="left"/>
        <w:rPr>
          <w:rFonts w:ascii="宋体" w:hAnsi="宋体"/>
          <w:sz w:val="18"/>
          <w:szCs w:val="18"/>
        </w:rPr>
      </w:pPr>
      <w:r>
        <w:rPr>
          <w:rFonts w:hint="eastAsia" w:ascii="宋体" w:hAnsi="宋体"/>
          <w:sz w:val="18"/>
          <w:szCs w:val="18"/>
        </w:rPr>
        <w:t>感谢您通过销售机构【福建省农村信用社联合社】以(□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 xml:space="preserve">2. </w:t>
      </w:r>
      <w:r>
        <w:rPr>
          <w:rFonts w:hint="eastAsia" w:ascii="宋体" w:hAnsi="宋体"/>
          <w:b/>
          <w:sz w:val="18"/>
          <w:szCs w:val="18"/>
        </w:rPr>
        <w:t>投资者风险承受能力评级与理财产品风险评级</w:t>
      </w:r>
    </w:p>
    <w:p>
      <w:pPr>
        <w:ind w:firstLine="361" w:firstLineChars="200"/>
        <w:rPr>
          <w:rFonts w:hint="eastAsia" w:ascii="宋体" w:hAnsi="宋体"/>
          <w:sz w:val="18"/>
          <w:szCs w:val="18"/>
        </w:rPr>
      </w:pP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14"/>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numPr>
          <w:ilvl w:val="0"/>
          <w:numId w:val="0"/>
        </w:numPr>
        <w:autoSpaceDE w:val="0"/>
        <w:autoSpaceDN w:val="0"/>
        <w:adjustRightInd w:val="0"/>
        <w:spacing w:line="280" w:lineRule="atLeast"/>
        <w:jc w:val="left"/>
        <w:rPr>
          <w:rFonts w:hint="eastAsia" w:ascii="宋体" w:hAnsi="宋体"/>
          <w:sz w:val="18"/>
          <w:szCs w:val="18"/>
          <w:lang w:val="en-US" w:eastAsia="zh-CN"/>
        </w:rPr>
      </w:pPr>
    </w:p>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hint="eastAsia"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11"/>
          <w:rFonts w:hint="eastAsia" w:ascii="宋体" w:hAnsi="宋体"/>
          <w:sz w:val="18"/>
          <w:szCs w:val="18"/>
        </w:rPr>
        <w:t>9</w:t>
      </w:r>
      <w:r>
        <w:rPr>
          <w:rStyle w:val="11"/>
          <w:rFonts w:ascii="宋体" w:hAnsi="宋体"/>
          <w:sz w:val="18"/>
          <w:szCs w:val="18"/>
        </w:rPr>
        <w:t>5561</w:t>
      </w:r>
      <w:r>
        <w:rPr>
          <w:rStyle w:val="11"/>
          <w:rFonts w:hint="eastAsia" w:ascii="宋体" w:hAnsi="宋体"/>
          <w:sz w:val="18"/>
          <w:szCs w:val="18"/>
        </w:rPr>
        <w:t>@</w:t>
      </w:r>
      <w:r>
        <w:rPr>
          <w:rStyle w:val="11"/>
          <w:rFonts w:asciiTheme="minorEastAsia" w:hAnsiTheme="minorEastAsia"/>
          <w:sz w:val="18"/>
          <w:szCs w:val="18"/>
        </w:rPr>
        <w:t>cib.com.cn</w:t>
      </w:r>
      <w:r>
        <w:rPr>
          <w:rStyle w:val="11"/>
          <w:rFonts w:hint="eastAsia" w:ascii="宋体" w:hAnsi="宋体"/>
          <w:sz w:val="18"/>
          <w:szCs w:val="18"/>
        </w:rPr>
        <w:t>】</w:t>
      </w:r>
      <w:r>
        <w:rPr>
          <w:rStyle w:val="11"/>
          <w:rFonts w:hint="eastAsia" w:ascii="宋体" w:hAnsi="宋体"/>
          <w:sz w:val="18"/>
          <w:szCs w:val="18"/>
        </w:rPr>
        <w:fldChar w:fldCharType="end"/>
      </w:r>
      <w:r>
        <w:rPr>
          <w:rFonts w:hint="eastAsia" w:ascii="宋体" w:hAnsi="宋体"/>
          <w:sz w:val="18"/>
          <w:szCs w:val="18"/>
        </w:rPr>
        <w:t>。</w:t>
      </w:r>
    </w:p>
    <w:p>
      <w:pPr>
        <w:spacing w:line="280" w:lineRule="atLeast"/>
        <w:ind w:firstLine="360" w:firstLineChars="200"/>
        <w:rPr>
          <w:rFonts w:hint="eastAsia" w:ascii="宋体" w:hAnsi="宋体"/>
          <w:sz w:val="18"/>
          <w:szCs w:val="18"/>
        </w:rPr>
      </w:pPr>
      <w:r>
        <w:rPr>
          <w:rFonts w:hint="eastAsia" w:ascii="宋体" w:hAnsi="宋体"/>
          <w:sz w:val="18"/>
          <w:szCs w:val="18"/>
          <w:lang w:val="en-US" w:eastAsia="zh-CN"/>
        </w:rPr>
        <w:t>3.</w:t>
      </w:r>
      <w:r>
        <w:rPr>
          <w:rFonts w:hint="eastAsia" w:ascii="宋体" w:hAnsi="宋体"/>
          <w:sz w:val="18"/>
          <w:szCs w:val="18"/>
        </w:rPr>
        <w:t>销售机构：通过【福建省农村信用社联合社】（作为销售服务机构）购买本产品的，请联系【福建省农村信用社联合社】，【福建省农村信用社联合社】客户服务热线：【0591-96336】；【福建省农村信用社联合社】门户网站：【www.fjnx.com.cn】。</w:t>
      </w:r>
    </w:p>
    <w:p>
      <w:pPr>
        <w:numPr>
          <w:ilvl w:val="0"/>
          <w:numId w:val="0"/>
        </w:numPr>
        <w:autoSpaceDE w:val="0"/>
        <w:autoSpaceDN w:val="0"/>
        <w:adjustRightInd w:val="0"/>
        <w:spacing w:line="280" w:lineRule="atLeast"/>
        <w:jc w:val="left"/>
        <w:rPr>
          <w:rFonts w:hint="default" w:ascii="宋体" w:hAnsi="宋体"/>
          <w:color w:val="FF0000"/>
          <w:sz w:val="18"/>
          <w:szCs w:val="18"/>
          <w:lang w:val="en-US" w:eastAsia="zh-CN"/>
        </w:rPr>
      </w:pPr>
    </w:p>
    <w:p>
      <w:pPr>
        <w:autoSpaceDE w:val="0"/>
        <w:autoSpaceDN w:val="0"/>
        <w:adjustRightInd w:val="0"/>
        <w:jc w:val="left"/>
        <w:rPr>
          <w:rFonts w:ascii="仿宋_GB2312" w:eastAsia="仿宋_GB2312" w:cs="仿宋_GB2312"/>
          <w:color w:val="000000"/>
          <w:kern w:val="0"/>
          <w:sz w:val="24"/>
          <w:szCs w:val="24"/>
        </w:rPr>
      </w:pPr>
    </w:p>
    <w:p>
      <w:pPr>
        <w:widowControl/>
        <w:jc w:val="left"/>
        <w:rPr>
          <w:rFonts w:hint="eastAsia" w:ascii="宋体" w:hAnsi="宋体"/>
          <w:b/>
          <w:sz w:val="18"/>
          <w:szCs w:val="18"/>
        </w:rPr>
      </w:pPr>
      <w:bookmarkStart w:id="222" w:name="_GoBack"/>
      <w:bookmarkEnd w:id="222"/>
    </w:p>
    <w:sectPr>
      <w:headerReference r:id="rId13" w:type="default"/>
      <w:footerReference r:id="rId1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4"/>
      <w:jc w:val="right"/>
      <w:rPr>
        <w:rFonts w:ascii="Times New Roman" w:hAnsi="Times New Roman"/>
        <w:b/>
      </w:rPr>
    </w:pPr>
    <w:r>
      <w:rPr>
        <w:rFonts w:hint="eastAsia" w:ascii="Times New Roman" w:hAnsi="Times New Roman"/>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（代理）销售协议书</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4"/>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8C5F5"/>
    <w:multiLevelType w:val="singleLevel"/>
    <w:tmpl w:val="A398C5F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C5151"/>
    <w:rsid w:val="30CA622F"/>
    <w:rsid w:val="32CD697B"/>
    <w:rsid w:val="3529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right" w:leader="dot" w:pos="8296"/>
      </w:tabs>
      <w:spacing w:line="360" w:lineRule="auto"/>
    </w:p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basedOn w:val="9"/>
    <w:qFormat/>
    <w:uiPriority w:val="99"/>
    <w:rPr>
      <w:color w:val="0000FF"/>
      <w:u w:val="single"/>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2023-11-06T02:14:00Z</dcterms:created>
  <dc:creator>cib</dc:creator>
  <cp:lastModifiedBy>cibfz</cp:lastModifiedBy>
  <dcterms:modified xsi:type="dcterms:W3CDTF">2023-11-08T01:34:00Z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