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r>
        <w:rPr>
          <w:rStyle w:val="10"/>
          <w:rFonts w:hint="eastAsia" w:ascii="黑体" w:hAnsi="黑体" w:eastAsia="黑体"/>
          <w:sz w:val="44"/>
          <w:szCs w:val="44"/>
        </w:rPr>
        <w:t>稳利安盈封闭式</w:t>
      </w:r>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8"/>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93"/>
        <w:gridCol w:w="5812"/>
        <w:gridCol w:w="19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2"/>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812" w:type="dxa"/>
          </w:tcPr>
          <w:p>
            <w:pPr>
              <w:pStyle w:val="12"/>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1984" w:type="dxa"/>
          </w:tcPr>
          <w:p>
            <w:pPr>
              <w:pStyle w:val="12"/>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2"/>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812" w:type="dxa"/>
          </w:tcPr>
          <w:p>
            <w:pPr>
              <w:widowControl/>
              <w:spacing w:line="360" w:lineRule="auto"/>
              <w:rPr>
                <w:rFonts w:ascii="宋体" w:hAnsi="宋体"/>
                <w:szCs w:val="21"/>
              </w:rPr>
            </w:pPr>
            <w:r>
              <w:rPr>
                <w:rFonts w:hint="eastAsia" w:ascii="宋体" w:hAnsi="宋体"/>
                <w:kern w:val="0"/>
                <w:sz w:val="20"/>
                <w:szCs w:val="21"/>
              </w:rPr>
              <w:t>兴银理财稳利安盈封闭式理财产品投资协议书</w:t>
            </w:r>
            <w:r>
              <w:rPr>
                <w:rFonts w:ascii="宋体" w:hAnsi="宋体"/>
                <w:kern w:val="0"/>
                <w:sz w:val="20"/>
                <w:szCs w:val="21"/>
              </w:rPr>
              <w:t xml:space="preserve"> </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12"/>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812" w:type="dxa"/>
          </w:tcPr>
          <w:p>
            <w:pPr>
              <w:widowControl/>
              <w:spacing w:line="360" w:lineRule="auto"/>
              <w:rPr>
                <w:rFonts w:ascii="宋体" w:hAnsi="宋体"/>
                <w:szCs w:val="21"/>
              </w:rPr>
            </w:pPr>
            <w:r>
              <w:rPr>
                <w:rFonts w:hint="eastAsia" w:ascii="宋体" w:hAnsi="宋体"/>
                <w:kern w:val="0"/>
                <w:sz w:val="20"/>
                <w:szCs w:val="21"/>
              </w:rPr>
              <w:t>兴银理财稳利安盈封闭式理财产品产品说明书</w:t>
            </w:r>
          </w:p>
        </w:tc>
        <w:tc>
          <w:tcPr>
            <w:tcW w:w="1984" w:type="dxa"/>
          </w:tcPr>
          <w:p>
            <w:pPr>
              <w:pStyle w:val="12"/>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2"/>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3</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兴银理财稳利安盈封闭式理财产品（代理）销售协议书</w:t>
            </w:r>
          </w:p>
        </w:tc>
        <w:tc>
          <w:tcPr>
            <w:tcW w:w="1984" w:type="dxa"/>
          </w:tcPr>
          <w:p>
            <w:pPr>
              <w:pStyle w:val="12"/>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2"/>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812" w:type="dxa"/>
          </w:tcPr>
          <w:p>
            <w:pPr>
              <w:widowControl/>
              <w:spacing w:line="360" w:lineRule="auto"/>
              <w:rPr>
                <w:rFonts w:ascii="宋体" w:hAnsi="宋体"/>
                <w:szCs w:val="21"/>
              </w:rPr>
            </w:pPr>
            <w:r>
              <w:rPr>
                <w:rFonts w:hint="eastAsia" w:ascii="宋体" w:hAnsi="宋体"/>
                <w:kern w:val="0"/>
                <w:sz w:val="20"/>
                <w:szCs w:val="21"/>
              </w:rPr>
              <w:t>兴银理财稳利安盈封闭式理财产品风险揭示书</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12"/>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兴银理财稳利安盈封闭式理财产品投资者权益须知</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12"/>
        <w:widowControl/>
        <w:snapToGrid w:val="0"/>
        <w:spacing w:line="360" w:lineRule="auto"/>
        <w:rPr>
          <w:rFonts w:ascii="黑体" w:hAnsi="黑体" w:eastAsia="黑体"/>
          <w:kern w:val="0"/>
          <w:szCs w:val="21"/>
        </w:rPr>
      </w:pPr>
      <w:r>
        <w:rPr>
          <w:rFonts w:hint="eastAsia" w:ascii="黑体" w:hAnsi="黑体" w:eastAsia="黑体"/>
          <w:kern w:val="0"/>
          <w:szCs w:val="21"/>
        </w:rPr>
        <w:t>1、销售文件的组成和编制的提示</w:t>
      </w:r>
    </w:p>
    <w:p>
      <w:pPr>
        <w:pStyle w:val="12"/>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12"/>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w:t>
      </w:r>
      <w:r>
        <w:rPr>
          <w:rFonts w:hint="eastAsia" w:ascii="黑体" w:hAnsi="黑体" w:eastAsia="黑体"/>
          <w:kern w:val="0"/>
          <w:szCs w:val="21"/>
        </w:rPr>
        <w:t>2</w:t>
      </w:r>
      <w:r>
        <w:rPr>
          <w:rFonts w:ascii="黑体" w:hAnsi="黑体" w:eastAsia="黑体"/>
          <w:kern w:val="0"/>
          <w:szCs w:val="21"/>
        </w:rPr>
        <w:t>021年第</w:t>
      </w:r>
      <w:r>
        <w:rPr>
          <w:rFonts w:hint="eastAsia" w:ascii="黑体" w:hAnsi="黑体" w:eastAsia="黑体"/>
          <w:kern w:val="0"/>
          <w:szCs w:val="21"/>
        </w:rPr>
        <w:t>4号）第2</w:t>
      </w:r>
      <w:r>
        <w:rPr>
          <w:rFonts w:ascii="黑体" w:hAnsi="黑体" w:eastAsia="黑体"/>
          <w:kern w:val="0"/>
          <w:szCs w:val="21"/>
        </w:rPr>
        <w:t>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12"/>
        <w:widowControl/>
        <w:snapToGrid w:val="0"/>
        <w:spacing w:line="360" w:lineRule="auto"/>
        <w:rPr>
          <w:rFonts w:ascii="黑体" w:hAnsi="黑体" w:eastAsia="黑体"/>
          <w:kern w:val="0"/>
          <w:szCs w:val="21"/>
        </w:rPr>
      </w:pPr>
      <w:r>
        <w:rPr>
          <w:rFonts w:hint="eastAsia" w:ascii="黑体" w:hAnsi="黑体" w:eastAsia="黑体"/>
          <w:kern w:val="0"/>
          <w:szCs w:val="21"/>
        </w:rPr>
        <w:t>2、投资者适当性的提示</w:t>
      </w:r>
    </w:p>
    <w:p>
      <w:pPr>
        <w:pStyle w:val="12"/>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12"/>
        <w:widowControl/>
        <w:snapToGrid w:val="0"/>
        <w:spacing w:line="360" w:lineRule="auto"/>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rPr>
        <w:t>、</w:t>
      </w:r>
      <w:r>
        <w:rPr>
          <w:rFonts w:ascii="黑体" w:hAnsi="黑体" w:eastAsia="黑体"/>
          <w:kern w:val="0"/>
          <w:szCs w:val="21"/>
        </w:rPr>
        <w:t>签署合同</w:t>
      </w:r>
      <w:r>
        <w:rPr>
          <w:rFonts w:hint="eastAsia" w:ascii="黑体" w:hAnsi="黑体" w:eastAsia="黑体"/>
          <w:kern w:val="0"/>
          <w:szCs w:val="21"/>
        </w:rPr>
        <w:t>前</w:t>
      </w:r>
      <w:r>
        <w:rPr>
          <w:rFonts w:ascii="黑体" w:hAnsi="黑体" w:eastAsia="黑体"/>
          <w:kern w:val="0"/>
          <w:szCs w:val="21"/>
        </w:rPr>
        <w:t>阅读全部条款的提示</w:t>
      </w:r>
    </w:p>
    <w:p>
      <w:pPr>
        <w:pStyle w:val="12"/>
        <w:widowControl/>
        <w:snapToGrid w:val="0"/>
        <w:spacing w:line="360" w:lineRule="auto"/>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r>
        <w:br w:type="page"/>
      </w:r>
    </w:p>
    <w:p>
      <w:pPr>
        <w:tabs>
          <w:tab w:val="left" w:pos="6660"/>
        </w:tabs>
        <w:spacing w:line="360" w:lineRule="auto"/>
        <w:jc w:val="center"/>
        <w:rPr>
          <w:bCs/>
          <w:sz w:val="44"/>
        </w:rPr>
      </w:pPr>
    </w:p>
    <w:p>
      <w:pPr>
        <w:widowControl/>
        <w:spacing w:line="360" w:lineRule="auto"/>
        <w:jc w:val="center"/>
        <w:rPr>
          <w:rStyle w:val="10"/>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10"/>
          <w:rFonts w:ascii="黑体" w:hAnsi="黑体" w:eastAsia="黑体" w:cs="宋体"/>
          <w:sz w:val="44"/>
          <w:szCs w:val="44"/>
        </w:rPr>
      </w:pPr>
      <w:r>
        <w:rPr>
          <w:rStyle w:val="10"/>
          <w:rFonts w:hint="eastAsia" w:ascii="黑体" w:hAnsi="黑体" w:eastAsia="黑体" w:cs="宋体"/>
          <w:sz w:val="44"/>
          <w:szCs w:val="44"/>
        </w:rPr>
        <w:t>兴银理财稳利安盈封闭式理财产品</w:t>
      </w:r>
    </w:p>
    <w:p>
      <w:pPr>
        <w:adjustRightInd w:val="0"/>
        <w:spacing w:line="360" w:lineRule="auto"/>
        <w:jc w:val="center"/>
        <w:rPr>
          <w:rStyle w:val="10"/>
          <w:rFonts w:ascii="黑体" w:hAnsi="黑体" w:eastAsia="黑体" w:cs="宋体"/>
          <w:sz w:val="44"/>
          <w:szCs w:val="44"/>
        </w:rPr>
      </w:pPr>
      <w:r>
        <w:rPr>
          <w:rStyle w:val="10"/>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r>
        <w:rPr>
          <w:rFonts w:ascii="黑体" w:hAnsi="黑体" w:eastAsia="黑体"/>
          <w:b/>
          <w:sz w:val="28"/>
          <w:szCs w:val="28"/>
        </w:rPr>
        <w:t xml:space="preserve">                 </w:t>
      </w:r>
      <w:r>
        <w:rPr>
          <w:rFonts w:hint="eastAsia" w:ascii="黑体" w:hAnsi="黑体" w:eastAsia="黑体"/>
          <w:b/>
          <w:sz w:val="28"/>
          <w:szCs w:val="28"/>
        </w:rPr>
        <w:t>】</w:t>
      </w: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10"/>
          <w:rFonts w:ascii="宋体" w:hAnsi="宋体"/>
          <w:sz w:val="28"/>
          <w:szCs w:val="28"/>
        </w:rPr>
      </w:pPr>
      <w:bookmarkStart w:id="0" w:name="_Toc123112263"/>
      <w:bookmarkStart w:id="1" w:name="_Toc123112224"/>
      <w:bookmarkStart w:id="2" w:name="_Toc123701383"/>
      <w:bookmarkStart w:id="3" w:name="_Toc139991726"/>
      <w:bookmarkStart w:id="4" w:name="_Toc139992301"/>
      <w:r>
        <w:rPr>
          <w:rStyle w:val="10"/>
          <w:rFonts w:hint="eastAsia" w:ascii="宋体" w:hAnsi="宋体"/>
          <w:sz w:val="28"/>
          <w:szCs w:val="28"/>
        </w:rPr>
        <w:t>理财产品管理人：</w:t>
      </w:r>
      <w:bookmarkEnd w:id="0"/>
      <w:bookmarkEnd w:id="1"/>
      <w:bookmarkEnd w:id="2"/>
      <w:bookmarkEnd w:id="3"/>
      <w:bookmarkEnd w:id="4"/>
      <w:r>
        <w:rPr>
          <w:rStyle w:val="10"/>
          <w:rFonts w:hint="eastAsia" w:ascii="宋体" w:hAnsi="宋体"/>
          <w:sz w:val="28"/>
          <w:szCs w:val="28"/>
        </w:rPr>
        <w:t>兴银理财有限责任公司</w:t>
      </w:r>
    </w:p>
    <w:p>
      <w:pPr>
        <w:adjustRightInd w:val="0"/>
        <w:spacing w:line="360" w:lineRule="auto"/>
        <w:jc w:val="center"/>
        <w:rPr>
          <w:rStyle w:val="10"/>
          <w:rFonts w:ascii="黑体" w:hAnsi="黑体" w:eastAsia="黑体" w:cs="宋体"/>
          <w:sz w:val="28"/>
          <w:szCs w:val="28"/>
        </w:rPr>
      </w:pPr>
      <w:bookmarkStart w:id="5" w:name="_Toc139991727"/>
      <w:bookmarkStart w:id="6" w:name="_Toc123701384"/>
      <w:bookmarkStart w:id="7" w:name="_Toc123112225"/>
      <w:bookmarkStart w:id="8" w:name="_Toc123112264"/>
      <w:bookmarkStart w:id="9" w:name="_Toc139992302"/>
    </w:p>
    <w:bookmarkEnd w:id="5"/>
    <w:bookmarkEnd w:id="6"/>
    <w:bookmarkEnd w:id="7"/>
    <w:bookmarkEnd w:id="8"/>
    <w:bookmarkEnd w:id="9"/>
    <w:p>
      <w:pPr>
        <w:adjustRightInd w:val="0"/>
        <w:spacing w:line="360" w:lineRule="auto"/>
        <w:jc w:val="center"/>
        <w:rPr>
          <w:rStyle w:val="10"/>
          <w:rFonts w:ascii="黑体" w:hAnsi="黑体" w:eastAsia="黑体" w:cs="宋体"/>
          <w:sz w:val="28"/>
          <w:szCs w:val="28"/>
        </w:rPr>
      </w:pPr>
    </w:p>
    <w:p>
      <w:pPr>
        <w:adjustRightInd w:val="0"/>
        <w:spacing w:line="360" w:lineRule="auto"/>
        <w:jc w:val="center"/>
        <w:rPr>
          <w:rStyle w:val="10"/>
          <w:rFonts w:ascii="宋体" w:hAnsi="宋体"/>
          <w:sz w:val="28"/>
          <w:szCs w:val="28"/>
        </w:rPr>
      </w:pPr>
      <w:r>
        <w:rPr>
          <w:rStyle w:val="10"/>
          <w:rFonts w:hint="eastAsia" w:ascii="宋体" w:hAnsi="宋体"/>
          <w:sz w:val="28"/>
          <w:szCs w:val="28"/>
        </w:rPr>
        <w:t>日期</w:t>
      </w:r>
      <w:r>
        <w:rPr>
          <w:rStyle w:val="10"/>
          <w:rFonts w:ascii="宋体" w:hAnsi="宋体"/>
          <w:sz w:val="28"/>
          <w:szCs w:val="28"/>
        </w:rPr>
        <w:t>：</w:t>
      </w:r>
      <w:r>
        <w:rPr>
          <w:rStyle w:val="10"/>
          <w:rFonts w:hint="eastAsia" w:ascii="宋体" w:hAnsi="宋体"/>
          <w:sz w:val="28"/>
          <w:szCs w:val="28"/>
        </w:rPr>
        <w:t>【</w:t>
      </w:r>
      <w:r>
        <w:rPr>
          <w:rStyle w:val="10"/>
          <w:rFonts w:ascii="宋体" w:hAnsi="宋体"/>
          <w:sz w:val="28"/>
          <w:szCs w:val="28"/>
        </w:rPr>
        <w:t>2023</w:t>
      </w:r>
      <w:r>
        <w:rPr>
          <w:rStyle w:val="10"/>
          <w:rFonts w:hint="eastAsia" w:ascii="宋体" w:hAnsi="宋体"/>
          <w:sz w:val="28"/>
          <w:szCs w:val="28"/>
        </w:rPr>
        <w:t>】年【</w:t>
      </w:r>
      <w:r>
        <w:rPr>
          <w:rStyle w:val="10"/>
          <w:rFonts w:ascii="宋体" w:hAnsi="宋体"/>
          <w:sz w:val="28"/>
          <w:szCs w:val="28"/>
        </w:rPr>
        <w:t>10</w:t>
      </w:r>
      <w:r>
        <w:rPr>
          <w:rStyle w:val="10"/>
          <w:rFonts w:hint="eastAsia" w:ascii="宋体" w:hAnsi="宋体"/>
          <w:sz w:val="28"/>
          <w:szCs w:val="28"/>
        </w:rPr>
        <w:t>】月</w:t>
      </w:r>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8"/>
        <w:tblW w:w="852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理财产品过往业绩不代表其未来表现，不等于理财产品实际受益，投资须谨慎。</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报酬计提基准</w:t>
            </w:r>
            <w:r>
              <w:rPr>
                <w:rFonts w:hint="eastAsia" w:ascii="黑体" w:hAnsi="黑体" w:eastAsia="黑体"/>
                <w:bCs/>
                <w:sz w:val="18"/>
                <w:szCs w:val="18"/>
              </w:rPr>
              <w:t>等类似表述不代表投资者可能获得的实际收益，亦不构成产品管理人对本产品的任何收益承诺，仅供投资者进行投资决定时参考。</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（1）情形1：所有销售文件都由产品管理人统一编制。其中，《投资协议书》、《产品说明书》、《（代理）销售协议书》、《风险揭示书》、《投资者权益须知》等销售文件均由产品管理人统一编制。</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投资者在此同意并授权，产品管理人可根据监管要求和合同约定，为理财产品登记、反洗钱</w:t>
            </w:r>
            <w:r>
              <w:rPr>
                <w:rFonts w:ascii="黑体" w:hAnsi="黑体" w:eastAsia="黑体"/>
                <w:bCs/>
                <w:sz w:val="18"/>
                <w:szCs w:val="18"/>
              </w:rPr>
              <w:t>工作</w:t>
            </w:r>
            <w:r>
              <w:rPr>
                <w:rFonts w:hint="eastAsia" w:ascii="黑体" w:hAnsi="黑体" w:eastAsia="黑体"/>
                <w:bCs/>
                <w:sz w:val="18"/>
                <w:szCs w:val="18"/>
              </w:rPr>
              <w:t>等需要，向登记部门或监管机构及相关方提供投资者相关信息。</w:t>
            </w:r>
          </w:p>
          <w:p>
            <w:pPr>
              <w:pStyle w:val="6"/>
              <w:snapToGrid w:val="0"/>
              <w:spacing w:before="0" w:beforeAutospacing="0" w:after="0" w:afterAutospacing="0" w:line="360" w:lineRule="auto"/>
              <w:jc w:val="both"/>
              <w:rPr>
                <w:rFonts w:ascii="黑体" w:hAnsi="黑体" w:eastAsia="黑体"/>
                <w:bCs/>
                <w:sz w:val="18"/>
                <w:szCs w:val="18"/>
              </w:rPr>
            </w:pPr>
          </w:p>
          <w:p>
            <w:pPr>
              <w:spacing w:line="360" w:lineRule="auto"/>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spacing w:line="360" w:lineRule="auto"/>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line="360" w:lineRule="auto"/>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701386"/>
      <w:bookmarkStart w:id="11" w:name="_Toc123112266"/>
      <w:bookmarkStart w:id="12" w:name="_Toc123112227"/>
      <w:bookmarkStart w:id="13" w:name="_Toc139991729"/>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7"/>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4"/>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4"/>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个人投资者适用</w:t>
            </w: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姓名</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4"/>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本公司系根据中国银保监会批准设立的由兴业银行股份有限公司全资控股的银行理财子公司。公司名称：中文为“兴银理财有限责任公司”；英文：“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银保监会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4"/>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4"/>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r>
              <w:rPr>
                <w:rFonts w:ascii="宋体" w:hAnsi="宋体"/>
                <w:szCs w:val="18"/>
                <w:u w:val="single"/>
              </w:rPr>
              <w:t xml:space="preserve">　                     </w:t>
            </w:r>
            <w:r>
              <w:rPr>
                <w:rFonts w:hint="eastAsia" w:ascii="宋体" w:hAnsi="宋体"/>
                <w:szCs w:val="18"/>
              </w:rPr>
              <w:t>。</w:t>
            </w:r>
          </w:p>
        </w:tc>
      </w:tr>
    </w:tbl>
    <w:p>
      <w:pPr>
        <w:widowControl/>
        <w:spacing w:line="360" w:lineRule="auto"/>
        <w:jc w:val="left"/>
        <w:rPr>
          <w:bCs/>
          <w:sz w:val="32"/>
        </w:rPr>
      </w:pPr>
      <w:r>
        <w:rPr>
          <w:rFonts w:hint="eastAsia"/>
          <w:bCs/>
          <w:sz w:val="32"/>
        </w:rPr>
        <w:t xml:space="preserve"> </w:t>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sectPr>
          <w:headerReference r:id="rId3" w:type="default"/>
          <w:footerReference r:id="rId4" w:type="default"/>
          <w:pgSz w:w="11906" w:h="16838"/>
          <w:pgMar w:top="1440" w:right="1800" w:bottom="1440" w:left="1800" w:header="567" w:footer="964" w:gutter="0"/>
          <w:pgNumType w:start="0"/>
          <w:cols w:space="720" w:num="1"/>
          <w:titlePg/>
          <w:docGrid w:type="lines" w:linePitch="312" w:charSpace="0"/>
        </w:sectPr>
      </w:pP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13"/>
            <w:spacing w:line="360" w:lineRule="auto"/>
            <w:jc w:val="center"/>
          </w:pPr>
          <w:r>
            <w:rPr>
              <w:lang w:val="zh-CN"/>
            </w:rPr>
            <w:t>目录</w:t>
          </w:r>
        </w:p>
        <w:p>
          <w:pPr>
            <w:pStyle w:val="5"/>
            <w:rPr>
              <w:rFonts w:asciiTheme="minorHAnsi" w:hAnsiTheme="minorHAnsi" w:eastAsiaTheme="minorEastAsia" w:cstheme="minorBidi"/>
              <w:szCs w:val="22"/>
            </w:rPr>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"_Toc111714032" </w:instrText>
          </w:r>
          <w:r>
            <w:fldChar w:fldCharType="separate"/>
          </w:r>
          <w:r>
            <w:rPr>
              <w:rStyle w:val="11"/>
              <w:rFonts w:hint="eastAsia"/>
            </w:rPr>
            <w:t>第一条</w:t>
          </w:r>
          <w:r>
            <w:rPr>
              <w:rStyle w:val="11"/>
            </w:rPr>
            <w:t xml:space="preserve">  </w:t>
          </w:r>
          <w:r>
            <w:rPr>
              <w:rStyle w:val="11"/>
              <w:rFonts w:hint="eastAsia"/>
            </w:rPr>
            <w:t>前言</w:t>
          </w:r>
          <w:r>
            <w:tab/>
          </w:r>
          <w:r>
            <w:fldChar w:fldCharType="begin"/>
          </w:r>
          <w:r>
            <w:instrText xml:space="preserve"> PAGEREF _Toc111714032 \h </w:instrText>
          </w:r>
          <w:r>
            <w:fldChar w:fldCharType="separate"/>
          </w:r>
          <w:r>
            <w:t>1</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"_Toc111714033" </w:instrText>
          </w:r>
          <w:r>
            <w:fldChar w:fldCharType="separate"/>
          </w:r>
          <w:r>
            <w:rPr>
              <w:rStyle w:val="11"/>
              <w:rFonts w:hint="eastAsia"/>
            </w:rPr>
            <w:t>第二条</w:t>
          </w:r>
          <w:r>
            <w:rPr>
              <w:rStyle w:val="11"/>
            </w:rPr>
            <w:t xml:space="preserve">  </w:t>
          </w:r>
          <w:r>
            <w:rPr>
              <w:rStyle w:val="11"/>
              <w:rFonts w:hint="eastAsia"/>
            </w:rPr>
            <w:t>双方权利义务</w:t>
          </w:r>
          <w:r>
            <w:tab/>
          </w:r>
          <w:r>
            <w:fldChar w:fldCharType="begin"/>
          </w:r>
          <w:r>
            <w:instrText xml:space="preserve"> PAGEREF _Toc111714033 \h </w:instrText>
          </w:r>
          <w:r>
            <w:fldChar w:fldCharType="separate"/>
          </w:r>
          <w:r>
            <w:t>2</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"_Toc111714034" </w:instrText>
          </w:r>
          <w:r>
            <w:fldChar w:fldCharType="separate"/>
          </w:r>
          <w:r>
            <w:rPr>
              <w:rStyle w:val="11"/>
              <w:rFonts w:hint="eastAsia"/>
            </w:rPr>
            <w:t>第三条</w:t>
          </w:r>
          <w:r>
            <w:rPr>
              <w:rStyle w:val="11"/>
            </w:rPr>
            <w:t xml:space="preserve">  </w:t>
          </w:r>
          <w:r>
            <w:rPr>
              <w:rStyle w:val="11"/>
              <w:rFonts w:hint="eastAsia"/>
            </w:rPr>
            <w:t>不可抗力</w:t>
          </w:r>
          <w:r>
            <w:tab/>
          </w:r>
          <w:r>
            <w:fldChar w:fldCharType="begin"/>
          </w:r>
          <w:r>
            <w:instrText xml:space="preserve"> PAGEREF _Toc111714034 \h </w:instrText>
          </w:r>
          <w:r>
            <w:fldChar w:fldCharType="separate"/>
          </w:r>
          <w:r>
            <w:t>5</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"_Toc111714035" </w:instrText>
          </w:r>
          <w:r>
            <w:fldChar w:fldCharType="separate"/>
          </w:r>
          <w:r>
            <w:rPr>
              <w:rStyle w:val="11"/>
              <w:rFonts w:hint="eastAsia"/>
            </w:rPr>
            <w:t>第四条</w:t>
          </w:r>
          <w:r>
            <w:rPr>
              <w:rStyle w:val="11"/>
            </w:rPr>
            <w:t xml:space="preserve">  </w:t>
          </w:r>
          <w:r>
            <w:rPr>
              <w:rStyle w:val="11"/>
              <w:rFonts w:hint="eastAsia"/>
            </w:rPr>
            <w:t>违约责任</w:t>
          </w:r>
          <w:r>
            <w:tab/>
          </w:r>
          <w:r>
            <w:fldChar w:fldCharType="begin"/>
          </w:r>
          <w:r>
            <w:instrText xml:space="preserve"> PAGEREF _Toc111714035 \h </w:instrText>
          </w:r>
          <w:r>
            <w:fldChar w:fldCharType="separate"/>
          </w:r>
          <w:r>
            <w:t>6</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"_Toc111714036" </w:instrText>
          </w:r>
          <w:r>
            <w:fldChar w:fldCharType="separate"/>
          </w:r>
          <w:r>
            <w:rPr>
              <w:rStyle w:val="11"/>
              <w:rFonts w:hint="eastAsia"/>
            </w:rPr>
            <w:t>第五条</w:t>
          </w:r>
          <w:r>
            <w:rPr>
              <w:rStyle w:val="11"/>
            </w:rPr>
            <w:t xml:space="preserve">  </w:t>
          </w:r>
          <w:r>
            <w:rPr>
              <w:rStyle w:val="11"/>
              <w:rFonts w:hint="eastAsia"/>
            </w:rPr>
            <w:t>法律适用和争议解决</w:t>
          </w:r>
          <w:r>
            <w:tab/>
          </w:r>
          <w:r>
            <w:fldChar w:fldCharType="begin"/>
          </w:r>
          <w:r>
            <w:instrText xml:space="preserve"> PAGEREF _Toc111714036 \h </w:instrText>
          </w:r>
          <w:r>
            <w:fldChar w:fldCharType="separate"/>
          </w:r>
          <w:r>
            <w:t>7</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"_Toc111714037" </w:instrText>
          </w:r>
          <w:r>
            <w:fldChar w:fldCharType="separate"/>
          </w:r>
          <w:r>
            <w:rPr>
              <w:rStyle w:val="11"/>
              <w:rFonts w:hint="eastAsia"/>
            </w:rPr>
            <w:t>第六条</w:t>
          </w:r>
          <w:r>
            <w:rPr>
              <w:rStyle w:val="11"/>
            </w:rPr>
            <w:t xml:space="preserve">  </w:t>
          </w:r>
          <w:r>
            <w:rPr>
              <w:rStyle w:val="11"/>
              <w:rFonts w:hint="eastAsia"/>
            </w:rPr>
            <w:t>协议的签署和效力</w:t>
          </w:r>
          <w:r>
            <w:tab/>
          </w:r>
          <w:r>
            <w:fldChar w:fldCharType="begin"/>
          </w:r>
          <w:r>
            <w:instrText xml:space="preserve"> PAGEREF _Toc111714037 \h </w:instrText>
          </w:r>
          <w:r>
            <w:fldChar w:fldCharType="separate"/>
          </w:r>
          <w:r>
            <w:t>8</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"_Toc111714038" </w:instrText>
          </w:r>
          <w:r>
            <w:fldChar w:fldCharType="separate"/>
          </w:r>
          <w:r>
            <w:rPr>
              <w:rStyle w:val="11"/>
              <w:rFonts w:hint="eastAsia"/>
            </w:rPr>
            <w:t>第七条</w:t>
          </w:r>
          <w:r>
            <w:rPr>
              <w:rStyle w:val="11"/>
            </w:rPr>
            <w:t xml:space="preserve">  </w:t>
          </w:r>
          <w:r>
            <w:rPr>
              <w:rStyle w:val="11"/>
              <w:rFonts w:hint="eastAsia"/>
            </w:rPr>
            <w:t>消费者权益保护</w:t>
          </w:r>
          <w:r>
            <w:tab/>
          </w:r>
          <w:r>
            <w:fldChar w:fldCharType="begin"/>
          </w:r>
          <w:r>
            <w:instrText xml:space="preserve"> PAGEREF _Toc111714038 \h </w:instrText>
          </w:r>
          <w:r>
            <w:fldChar w:fldCharType="separate"/>
          </w:r>
          <w:r>
            <w:t>9</w:t>
          </w:r>
          <w:r>
            <w:fldChar w:fldCharType="end"/>
          </w:r>
          <w:r>
            <w:fldChar w:fldCharType="end"/>
          </w:r>
        </w:p>
        <w:p>
          <w:pPr>
            <w:spacing w:line="360" w:lineRule="auto"/>
          </w:pPr>
          <w:r>
            <w:rPr>
              <w:b/>
              <w:bCs/>
              <w:lang w:val="zh-CN"/>
            </w:rPr>
            <w:fldChar w:fldCharType="end"/>
          </w:r>
        </w:p>
      </w:sdtContent>
    </w:sdt>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sectPr>
          <w:pgSz w:w="11906" w:h="16838"/>
          <w:pgMar w:top="1440" w:right="1800" w:bottom="1440" w:left="1800" w:header="851" w:footer="992" w:gutter="0"/>
          <w:pgNumType w:start="0"/>
          <w:cols w:space="720" w:num="1"/>
          <w:docGrid w:type="lines" w:linePitch="312" w:charSpace="0"/>
        </w:sect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4966"/>
      <w:bookmarkStart w:id="15" w:name="_Toc30935"/>
      <w:bookmarkStart w:id="16" w:name="_Toc123112268"/>
      <w:bookmarkStart w:id="17" w:name="_Toc139991730"/>
      <w:bookmarkStart w:id="18" w:name="_Toc123701389"/>
      <w:bookmarkStart w:id="19" w:name="_Toc26897"/>
      <w:bookmarkStart w:id="20" w:name="_Toc141703880"/>
      <w:bookmarkStart w:id="21" w:name="_Toc123112229"/>
      <w:bookmarkStart w:id="22" w:name="_Toc6306"/>
      <w:bookmarkStart w:id="23" w:name="_Toc23386"/>
      <w:bookmarkStart w:id="24" w:name="_Toc8727"/>
      <w:bookmarkStart w:id="25" w:name="_Toc29629"/>
      <w:bookmarkStart w:id="26" w:name="_Toc4867"/>
      <w:bookmarkStart w:id="27" w:name="_Toc15517"/>
      <w:bookmarkStart w:id="28" w:name="_Toc32639"/>
      <w:bookmarkStart w:id="29" w:name="_Toc11171403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6617"/>
      <w:bookmarkStart w:id="33" w:name="_Toc19592"/>
      <w:bookmarkStart w:id="34" w:name="_Toc22864"/>
      <w:bookmarkStart w:id="35" w:name="_Toc819"/>
      <w:bookmarkStart w:id="36" w:name="_Toc24860"/>
      <w:bookmarkStart w:id="37" w:name="_Toc21301"/>
      <w:bookmarkStart w:id="38" w:name="_Toc13020"/>
      <w:bookmarkStart w:id="39" w:name="_Toc2465"/>
      <w:bookmarkStart w:id="40" w:name="_Toc258829399"/>
      <w:bookmarkStart w:id="41" w:name="_Toc15067"/>
      <w:bookmarkStart w:id="42" w:name="_Toc3224"/>
      <w:r>
        <w:rPr>
          <w:rFonts w:hint="eastAsia" w:ascii="Times New Roman"/>
          <w:color w:val="auto"/>
          <w:sz w:val="30"/>
        </w:rPr>
        <w:t>前言</w:t>
      </w:r>
      <w:bookmarkEnd w:id="29"/>
    </w:p>
    <w:p>
      <w:pPr>
        <w:pStyle w:val="14"/>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、订立本投资协议书的目的是保护投资人合法权益，明确投资协议书当事人的权利义务，规范理财产品运作。</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、订立本投资协议书的依据是《中华人民共和国民法典》等法律法规、《关于规范金融机构资产管理业务的指导意见》（银发</w:t>
      </w:r>
      <w:r>
        <w:rPr>
          <w:rFonts w:asciiTheme="majorEastAsia" w:hAnsiTheme="majorEastAsia" w:eastAsiaTheme="majorEastAsia"/>
          <w:bCs/>
          <w:color w:val="auto"/>
          <w:sz w:val="18"/>
          <w:szCs w:val="18"/>
        </w:rPr>
        <w:t>[2018]106</w:t>
      </w:r>
      <w:r>
        <w:rPr>
          <w:rFonts w:hint="eastAsia" w:asciiTheme="majorEastAsia" w:hAnsiTheme="majorEastAsia" w:eastAsiaTheme="majorEastAsia"/>
          <w:bCs/>
          <w:color w:val="auto"/>
          <w:sz w:val="18"/>
          <w:szCs w:val="18"/>
        </w:rPr>
        <w:t>号）、《商业银行理财业务监督管理办法》（银保监会令</w:t>
      </w:r>
      <w:r>
        <w:rPr>
          <w:rFonts w:asciiTheme="majorEastAsia" w:hAnsiTheme="majorEastAsia" w:eastAsiaTheme="majorEastAsia"/>
          <w:bCs/>
          <w:color w:val="auto"/>
          <w:sz w:val="18"/>
          <w:szCs w:val="18"/>
        </w:rPr>
        <w:t xml:space="preserve"> </w:t>
      </w:r>
      <w:r>
        <w:rPr>
          <w:rFonts w:hint="eastAsia" w:asciiTheme="majorEastAsia" w:hAnsiTheme="majorEastAsia" w:eastAsiaTheme="majorEastAsia"/>
          <w:bCs/>
          <w:color w:val="auto"/>
          <w:sz w:val="18"/>
          <w:szCs w:val="18"/>
        </w:rPr>
        <w:t>2018年第</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号）、</w:t>
      </w:r>
      <w:bookmarkStart w:id="43" w:name="_Toc59965743"/>
      <w:r>
        <w:rPr>
          <w:rFonts w:hint="eastAsia" w:asciiTheme="majorEastAsia" w:hAnsiTheme="majorEastAsia" w:eastAsiaTheme="majorEastAsia"/>
          <w:bCs/>
          <w:color w:val="auto"/>
          <w:sz w:val="18"/>
          <w:szCs w:val="18"/>
        </w:rPr>
        <w:t>《商业银行理财子公司管理办法》</w:t>
      </w:r>
      <w:bookmarkEnd w:id="43"/>
      <w:r>
        <w:rPr>
          <w:rFonts w:hint="eastAsia" w:asciiTheme="majorEastAsia" w:hAnsiTheme="majorEastAsia" w:eastAsiaTheme="majorEastAsia"/>
          <w:bCs/>
          <w:color w:val="auto"/>
          <w:sz w:val="18"/>
          <w:szCs w:val="18"/>
        </w:rPr>
        <w:t>（银保监会令2018年第7号）、《理财公司理财产品销售管理暂行办法》（银保监会令2021年第4号）等监管规定及其他有关规定。</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、订立本投资协议书的原则是平等自愿、诚实信用、充分保护投资人合法权益。</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 xml:space="preserve"> </w:t>
      </w:r>
    </w:p>
    <w:p>
      <w:pPr>
        <w:pStyle w:val="14"/>
        <w:spacing w:line="360" w:lineRule="auto"/>
        <w:rPr>
          <w:rFonts w:asciiTheme="majorEastAsia" w:hAnsiTheme="majorEastAsia" w:eastAsiaTheme="majorEastAsia"/>
          <w:bCs/>
          <w:color w:val="auto"/>
          <w:sz w:val="18"/>
          <w:szCs w:val="18"/>
        </w:rPr>
      </w:pP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11714033"/>
      <w:bookmarkStart w:id="45" w:name="_Toc74065739"/>
      <w:r>
        <w:rPr>
          <w:rFonts w:ascii="Times New Roman"/>
          <w:color w:val="auto"/>
          <w:sz w:val="30"/>
        </w:rPr>
        <w:t>第</w:t>
      </w:r>
      <w:r>
        <w:rPr>
          <w:rFonts w:hint="eastAsia" w:ascii="Times New Roman"/>
          <w:color w:val="auto"/>
          <w:sz w:val="30"/>
        </w:rPr>
        <w:t xml:space="preserve">二条 </w:t>
      </w:r>
      <w:r>
        <w:rPr>
          <w:rFonts w:ascii="Times New Roman"/>
          <w:color w:val="auto"/>
          <w:sz w:val="30"/>
        </w:rPr>
        <w:t xml:space="preserve"> </w:t>
      </w:r>
      <w:r>
        <w:rPr>
          <w:rFonts w:hint="eastAsia" w:ascii="Times New Roman"/>
          <w:color w:val="auto"/>
          <w:sz w:val="30"/>
        </w:rPr>
        <w:t>双方</w:t>
      </w:r>
      <w:r>
        <w:rPr>
          <w:rFonts w:ascii="Times New Roman"/>
          <w:color w:val="auto"/>
          <w:sz w:val="30"/>
        </w:rPr>
        <w:t>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投资者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销售机构、产品托管人、监管机构、自律组织、理财登记备案机构、金融交易对手方、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宋体" w:hAnsi="宋体"/>
          <w:sz w:val="18"/>
          <w:szCs w:val="18"/>
        </w:rPr>
        <w:t>投资者承诺由此产生的相关风险由投资者承担</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10.</w:t>
      </w:r>
      <w:r>
        <w:rPr>
          <w:rFonts w:hint="eastAsia" w:ascii="黑体" w:hAnsi="黑体" w:eastAsia="黑体"/>
          <w:sz w:val="18"/>
          <w:szCs w:val="18"/>
        </w:rPr>
        <w:t>★</w:t>
      </w:r>
      <w:r>
        <w:rPr>
          <w:rFonts w:ascii="黑体" w:hAnsi="黑体" w:eastAsia="黑体"/>
          <w:sz w:val="18"/>
          <w:szCs w:val="18"/>
        </w:rPr>
        <w:t>未经</w:t>
      </w:r>
      <w:r>
        <w:rPr>
          <w:rFonts w:hint="eastAsia" w:ascii="黑体" w:hAnsi="黑体" w:eastAsia="黑体"/>
          <w:sz w:val="18"/>
          <w:szCs w:val="18"/>
        </w:rPr>
        <w:t>产品管理人</w:t>
      </w:r>
      <w:r>
        <w:rPr>
          <w:rFonts w:ascii="黑体" w:hAnsi="黑体" w:eastAsia="黑体"/>
          <w:sz w:val="18"/>
          <w:szCs w:val="18"/>
        </w:rPr>
        <w:t>同意，</w:t>
      </w:r>
      <w:r>
        <w:rPr>
          <w:rFonts w:hint="eastAsia" w:ascii="黑体" w:hAnsi="黑体" w:eastAsia="黑体"/>
          <w:sz w:val="18"/>
          <w:szCs w:val="18"/>
        </w:rPr>
        <w:t>投资者</w:t>
      </w:r>
      <w:r>
        <w:rPr>
          <w:rFonts w:ascii="黑体" w:hAnsi="黑体" w:eastAsia="黑体"/>
          <w:sz w:val="18"/>
          <w:szCs w:val="18"/>
        </w:rPr>
        <w:t>不得以本</w:t>
      </w:r>
      <w:r>
        <w:rPr>
          <w:rFonts w:hint="eastAsia" w:ascii="黑体" w:hAnsi="黑体" w:eastAsia="黑体"/>
          <w:sz w:val="18"/>
          <w:szCs w:val="18"/>
        </w:rPr>
        <w:t>产品</w:t>
      </w:r>
      <w:r>
        <w:rPr>
          <w:rFonts w:ascii="黑体" w:hAnsi="黑体" w:eastAsia="黑体"/>
          <w:sz w:val="18"/>
          <w:szCs w:val="18"/>
        </w:rPr>
        <w:t>项下的任何权利、利益、权益（包括单独和整体）为</w:t>
      </w:r>
      <w:r>
        <w:rPr>
          <w:rFonts w:hint="eastAsia" w:ascii="黑体" w:hAnsi="黑体" w:eastAsia="黑体"/>
          <w:sz w:val="18"/>
          <w:szCs w:val="18"/>
        </w:rPr>
        <w:t>投资者</w:t>
      </w:r>
      <w:r>
        <w:rPr>
          <w:rFonts w:ascii="黑体" w:hAnsi="黑体" w:eastAsia="黑体"/>
          <w:sz w:val="18"/>
          <w:szCs w:val="18"/>
        </w:rPr>
        <w:t>和任何第三人的债务设定担保或其他权益</w:t>
      </w:r>
      <w:r>
        <w:rPr>
          <w:rFonts w:ascii="宋体" w:hAnsi="宋体"/>
          <w:sz w:val="18"/>
          <w:szCs w:val="18"/>
        </w:rPr>
        <w:t>。</w:t>
      </w:r>
      <w:r>
        <w:rPr>
          <w:rFonts w:hint="eastAsia" w:ascii="宋体" w:hAnsi="宋体"/>
          <w:sz w:val="18"/>
          <w:szCs w:val="18"/>
        </w:rPr>
        <w:t>若投资者以本产品在兴业银行股份有限公司办理质押贷款业务时，则无需产品管理人同意。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。若投资者使用兴业银行股份有限公司提供的服务开展前述行为时，则无需产品管理人同意。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hint="eastAsia" w:ascii="宋体" w:hAnsi="宋体"/>
          <w:sz w:val="18"/>
          <w:szCs w:val="18"/>
        </w:rPr>
        <w:t>3.</w:t>
      </w:r>
      <w:r>
        <w:rPr>
          <w:rFonts w:ascii="宋体" w:hAnsi="宋体"/>
          <w:sz w:val="18"/>
          <w:szCs w:val="18"/>
        </w:rPr>
        <w:t>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按照《产品说明书》约定向投资者进行理财产品份额的利益分配并将对应资金划入投资者约定账户后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即视为产品管理人已向投资者完成利益分配和资金的清算分配。因投资者约定账户冻结、挂失、换卡、销户、长期不动户等原因造成账户变更或异常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销售机构办理变更手续。如因投资者未及时办理变更手续而造成产品管理人及</w:t>
      </w:r>
      <w:r>
        <w:rPr>
          <w:rFonts w:ascii="宋体" w:hAnsi="宋体"/>
          <w:sz w:val="18"/>
          <w:szCs w:val="18"/>
        </w:rPr>
        <w:t>/或</w:t>
      </w:r>
      <w:r>
        <w:rPr>
          <w:rFonts w:hint="eastAsia" w:ascii="宋体" w:hAnsi="宋体"/>
          <w:sz w:val="18"/>
          <w:szCs w:val="18"/>
        </w:rPr>
        <w:t>销售机构无法向投资者进行正常利益分配和资金清算分配</w:t>
      </w:r>
      <w:r>
        <w:rPr>
          <w:rFonts w:ascii="宋体" w:hAnsi="宋体"/>
          <w:sz w:val="18"/>
          <w:szCs w:val="18"/>
        </w:rPr>
        <w:t xml:space="preserve">, </w:t>
      </w:r>
      <w:r>
        <w:rPr>
          <w:rFonts w:hint="eastAsia" w:ascii="宋体" w:hAnsi="宋体"/>
          <w:sz w:val="18"/>
          <w:szCs w:val="18"/>
        </w:rPr>
        <w:t>由此导致投资者损失的由投资者自行承担</w:t>
      </w:r>
      <w:r>
        <w:rPr>
          <w:rFonts w:ascii="宋体" w:hAnsi="宋体"/>
          <w:sz w:val="18"/>
          <w:szCs w:val="18"/>
        </w:rPr>
        <w:t xml:space="preserve">, </w:t>
      </w:r>
      <w:r>
        <w:rPr>
          <w:rFonts w:hint="eastAsia" w:ascii="宋体" w:hAnsi="宋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和自律组织要求，本产品的投资合作机构（包括但不限于本产品所投资的信托计划、资管计划、基金的受托人或管理人、相关投资顾问等，下同）有可能需要向监管机构、自律组织等报送投资者信息，产品管理人将应投资合作机构的申请，在必要范围内向投资合作机构、监管机构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产品管理人有权根据符合条件的申请，受理并办理继承、捐赠、司法强制执行和经理财产品登记机构认可的其他情况下的非交易过户。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111714034"/>
      <w:bookmarkStart w:id="47" w:name="_Toc733"/>
      <w:bookmarkStart w:id="48" w:name="_Toc6683"/>
      <w:bookmarkStart w:id="49" w:name="_Toc20318"/>
      <w:bookmarkStart w:id="50" w:name="_Toc6149"/>
      <w:bookmarkStart w:id="51" w:name="_Toc74065740"/>
      <w:bookmarkStart w:id="52" w:name="_Toc18631"/>
      <w:bookmarkStart w:id="53" w:name="_Toc545"/>
      <w:bookmarkStart w:id="54" w:name="_Toc22708"/>
      <w:bookmarkStart w:id="55" w:name="_Toc24571"/>
      <w:bookmarkStart w:id="56" w:name="_Toc13288"/>
      <w:bookmarkStart w:id="57" w:name="_Toc20627"/>
      <w:bookmarkStart w:id="58" w:name="_Toc233456272"/>
      <w:bookmarkStart w:id="59" w:name="_Toc258829400"/>
      <w:r>
        <w:rPr>
          <w:rFonts w:hint="eastAsia" w:ascii="Times New Roman"/>
          <w:color w:val="auto"/>
          <w:sz w:val="30"/>
        </w:rPr>
        <w:t>第三条</w:t>
      </w:r>
      <w:r>
        <w:rPr>
          <w:rFonts w:ascii="Times New Roman"/>
          <w:color w:val="auto"/>
          <w:sz w:val="30"/>
        </w:rPr>
        <w:t xml:space="preserve">  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11171403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111714036"/>
      <w:r>
        <w:rPr>
          <w:rFonts w:hint="eastAsia" w:ascii="Times New Roman"/>
          <w:color w:val="auto"/>
          <w:sz w:val="30"/>
        </w:rPr>
        <w:t>第五条</w:t>
      </w:r>
      <w:r>
        <w:rPr>
          <w:rFonts w:ascii="Times New Roman"/>
          <w:color w:val="auto"/>
          <w:sz w:val="30"/>
        </w:rPr>
        <w:t xml:space="preserve">  法律适用和争议解决</w:t>
      </w:r>
      <w:bookmarkEnd w:id="61"/>
    </w:p>
    <w:p>
      <w:pPr>
        <w:adjustRightInd w:val="0"/>
        <w:spacing w:line="360" w:lineRule="auto"/>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（一）</w:t>
      </w:r>
      <w:r>
        <w:rPr>
          <w:color w:val="000000" w:themeColor="text1"/>
          <w:sz w:val="18"/>
          <w:szCs w:val="18"/>
          <w14:textFill>
            <w14:solidFill>
              <w14:schemeClr w14:val="tx1"/>
            </w14:solidFill>
          </w14:textFill>
        </w:rPr>
        <w:t>法律适用</w:t>
      </w:r>
    </w:p>
    <w:p>
      <w:pPr>
        <w:adjustRightInd w:val="0"/>
        <w:spacing w:line="360" w:lineRule="auto"/>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本协议的订立、生效、履行、解除、解释及争议的解决等均适用中华人民共和国法律（为本合同之目的，不包括香港特别行政区、澳门特别行政区和台湾地区的法律）。</w:t>
      </w:r>
    </w:p>
    <w:p>
      <w:pPr>
        <w:adjustRightInd w:val="0"/>
        <w:spacing w:line="360" w:lineRule="auto"/>
        <w:ind w:firstLine="360" w:firstLineChars="200"/>
        <w:rPr>
          <w:rFonts w:ascii="黑体" w:hAnsi="黑体" w:eastAsia="黑体"/>
          <w:sz w:val="18"/>
          <w:szCs w:val="18"/>
        </w:rPr>
      </w:pPr>
      <w:r>
        <w:rPr>
          <w:rFonts w:hint="eastAsia" w:ascii="黑体" w:hAnsi="黑体" w:eastAsia="黑体"/>
          <w:sz w:val="18"/>
          <w:szCs w:val="18"/>
        </w:rPr>
        <w:t>（二）★争议解决</w:t>
      </w:r>
    </w:p>
    <w:p>
      <w:pPr>
        <w:adjustRightInd w:val="0"/>
        <w:spacing w:line="360" w:lineRule="auto"/>
        <w:ind w:firstLine="360" w:firstLineChars="200"/>
        <w:rPr>
          <w:rFonts w:ascii="黑体" w:hAnsi="黑体" w:eastAsia="黑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双方在本协议书的执行过程中发生的任何争议，应通过友好协商解决。</w:t>
      </w:r>
      <w:r>
        <w:rPr>
          <w:rFonts w:hint="eastAsia" w:ascii="黑体" w:hAnsi="黑体" w:eastAsia="黑体"/>
          <w:color w:val="000000" w:themeColor="text1"/>
          <w:sz w:val="18"/>
          <w:szCs w:val="18"/>
          <w14:textFill>
            <w14:solidFill>
              <w14:schemeClr w14:val="tx1"/>
            </w14:solidFill>
          </w14:textFill>
        </w:rPr>
        <w:t>如友好协商不成的，双方均同意以如下第【壹】种方式解决：</w:t>
      </w:r>
    </w:p>
    <w:p>
      <w:pPr>
        <w:adjustRightInd w:val="0"/>
        <w:spacing w:line="360" w:lineRule="auto"/>
        <w:ind w:firstLine="360" w:firstLineChars="200"/>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（壹）向产品管理人住所地之人民法院提起诉讼。</w:t>
      </w:r>
    </w:p>
    <w:p>
      <w:pPr>
        <w:adjustRightInd w:val="0"/>
        <w:spacing w:line="360" w:lineRule="auto"/>
        <w:ind w:firstLine="360" w:firstLineChars="200"/>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1714037"/>
      <w:r>
        <w:rPr>
          <w:rFonts w:hint="eastAsia" w:ascii="Times New Roman"/>
          <w:color w:val="auto"/>
          <w:sz w:val="30"/>
        </w:rPr>
        <w:t xml:space="preserve">第六条 </w:t>
      </w:r>
      <w:r>
        <w:rPr>
          <w:rFonts w:ascii="Times New Roman"/>
          <w:color w:val="auto"/>
          <w:sz w:val="30"/>
        </w:rPr>
        <w:t xml:space="preserve"> 协议的签署和</w:t>
      </w:r>
      <w:r>
        <w:rPr>
          <w:rFonts w:hint="eastAsia" w:ascii="Times New Roman"/>
          <w:color w:val="auto"/>
          <w:sz w:val="30"/>
        </w:rPr>
        <w:t>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，本协议自投资者签字</w:t>
      </w:r>
      <w:r>
        <w:rPr>
          <w:rFonts w:ascii="黑体" w:hAnsi="黑体" w:eastAsia="黑体"/>
          <w:sz w:val="18"/>
          <w:szCs w:val="18"/>
        </w:rPr>
        <w:t>/盖章后则为签署。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77953869"/>
      <w:bookmarkStart w:id="64" w:name="_Toc111714038"/>
      <w:r>
        <w:rPr>
          <w:rFonts w:hint="eastAsia" w:ascii="Times New Roman"/>
          <w:color w:val="auto"/>
          <w:sz w:val="30"/>
        </w:rPr>
        <w:t xml:space="preserve">第七条 </w:t>
      </w:r>
      <w:r>
        <w:rPr>
          <w:rFonts w:ascii="Times New Roman"/>
          <w:color w:val="auto"/>
          <w:sz w:val="30"/>
        </w:rPr>
        <w:t xml:space="preserve"> </w:t>
      </w:r>
      <w:r>
        <w:rPr>
          <w:rFonts w:hint="eastAsia" w:ascii="Times New Roman"/>
          <w:color w:val="auto"/>
          <w:sz w:val="30"/>
        </w:rPr>
        <w:t>消费者权益保护</w:t>
      </w:r>
      <w:bookmarkEnd w:id="63"/>
      <w:bookmarkEnd w:id="64"/>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hint="eastAsia"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销售机构的联络方式，具体以《（代理）销售协议书》、《投资者权益须知》等销售文件的内容为准。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8"/>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r>
              <w:rPr>
                <w:rFonts w:hint="eastAsia" w:ascii="宋体" w:hAnsi="宋体" w:cs="宋体"/>
                <w:b/>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r>
              <w:rPr>
                <w:rFonts w:hint="eastAsia" w:ascii="宋体" w:hAnsi="宋体" w:cs="宋体"/>
                <w:b/>
                <w:sz w:val="18"/>
                <w:szCs w:val="18"/>
              </w:rPr>
              <w:t>【】类</w:t>
            </w:r>
            <w:r>
              <w:rPr>
                <w:rFonts w:ascii="宋体" w:hAnsi="宋体" w:cs="宋体"/>
                <w:b/>
                <w:sz w:val="18"/>
                <w:szCs w:val="18"/>
              </w:rPr>
              <w:t>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封闭式产品不设置申购</w:t>
            </w:r>
            <w:r>
              <w:rPr>
                <w:rFonts w:hint="eastAsia" w:ascii="宋体" w:hAnsi="宋体"/>
                <w:b/>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w:t>
            </w:r>
            <w:r>
              <w:rPr>
                <w:rFonts w:hint="eastAsia" w:ascii="宋体" w:hAnsi="宋体"/>
                <w:b/>
                <w:bCs/>
                <w:sz w:val="18"/>
                <w:szCs w:val="18"/>
              </w:rPr>
              <w:t>赎回。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b/>
                <w:sz w:val="18"/>
                <w:szCs w:val="18"/>
              </w:rPr>
            </w:pPr>
            <w:r>
              <w:rPr>
                <w:rFonts w:hint="eastAsia" w:asciiTheme="minorEastAsia" w:hAnsiTheme="minorEastAsia"/>
                <w:sz w:val="18"/>
                <w:szCs w:val="18"/>
              </w:rPr>
              <w:t xml:space="preserve">【 </w:t>
            </w:r>
            <w:r>
              <w:rPr>
                <w:rFonts w:asciiTheme="minorEastAsia" w:hAnsiTheme="minorEastAsia"/>
                <w:sz w:val="18"/>
                <w:szCs w:val="18"/>
              </w:rPr>
              <w:t>】年</w:t>
            </w:r>
            <w:r>
              <w:rPr>
                <w:rFonts w:hint="eastAsia" w:asciiTheme="minorEastAsia" w:hAnsiTheme="minorEastAsia"/>
                <w:sz w:val="18"/>
                <w:szCs w:val="18"/>
              </w:rPr>
              <w:t>【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3、投资者</w:t>
            </w:r>
            <w:r>
              <w:rPr>
                <w:rFonts w:ascii="黑体" w:hAnsi="黑体" w:eastAsia="黑体"/>
                <w:sz w:val="18"/>
                <w:szCs w:val="18"/>
              </w:rPr>
              <w:t>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14"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b/>
                <w:sz w:val="18"/>
                <w:szCs w:val="18"/>
              </w:rPr>
            </w:pPr>
            <w:r>
              <w:rPr>
                <w:rFonts w:hint="eastAsia"/>
                <w:b/>
                <w:sz w:val="18"/>
                <w:szCs w:val="18"/>
              </w:rPr>
              <w:t>个人投资者适用</w:t>
            </w:r>
          </w:p>
        </w:tc>
        <w:tc>
          <w:tcPr>
            <w:tcW w:w="6998" w:type="dxa"/>
            <w:gridSpan w:val="2"/>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Merge w:val="continue"/>
          </w:tcPr>
          <w:p>
            <w:pPr>
              <w:spacing w:line="360" w:lineRule="auto"/>
              <w:rPr>
                <w:b/>
                <w:sz w:val="18"/>
                <w:szCs w:val="18"/>
              </w:rPr>
            </w:pPr>
          </w:p>
        </w:tc>
        <w:tc>
          <w:tcPr>
            <w:tcW w:w="851" w:type="dxa"/>
            <w:gridSpan w:val="2"/>
          </w:tcPr>
          <w:p>
            <w:pPr>
              <w:spacing w:line="360" w:lineRule="auto"/>
              <w:rPr>
                <w:b/>
                <w:sz w:val="18"/>
                <w:szCs w:val="18"/>
              </w:rPr>
            </w:pPr>
            <w:r>
              <w:rPr>
                <w:rFonts w:hint="eastAsia"/>
                <w:b/>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rFonts w:cs="Arial"/>
                <w:sz w:val="18"/>
                <w:szCs w:val="18"/>
              </w:rPr>
            </w:pPr>
            <w:r>
              <w:rPr>
                <w:rFonts w:hint="eastAsia" w:cs="Arial"/>
                <w:sz w:val="18"/>
                <w:szCs w:val="18"/>
              </w:rPr>
              <w:t>投资者法定代表人或授权代理人（签字或盖章）：</w:t>
            </w:r>
          </w:p>
          <w:p>
            <w:pPr>
              <w:spacing w:line="360" w:lineRule="auto"/>
              <w:rPr>
                <w:b/>
                <w:sz w:val="18"/>
                <w:szCs w:val="18"/>
              </w:rPr>
            </w:pPr>
          </w:p>
          <w:p>
            <w:pPr>
              <w:spacing w:line="360" w:lineRule="auto"/>
              <w:rPr>
                <w:sz w:val="18"/>
                <w:szCs w:val="18"/>
              </w:rPr>
            </w:pPr>
            <w:r>
              <w:rPr>
                <w:rFonts w:hint="eastAsia"/>
                <w:sz w:val="18"/>
                <w:szCs w:val="18"/>
              </w:rPr>
              <w:t>日期：</w:t>
            </w:r>
          </w:p>
        </w:tc>
      </w:tr>
    </w:tbl>
    <w:p>
      <w:pPr>
        <w:spacing w:line="360" w:lineRule="auto"/>
        <w:jc w:val="left"/>
        <w:rPr>
          <w:rFonts w:hint="eastAsia" w:ascii="宋体" w:hAnsi="宋体"/>
          <w:b/>
          <w:sz w:val="18"/>
          <w:szCs w:val="18"/>
        </w:rPr>
        <w:sectPr>
          <w:headerReference r:id="rId5" w:type="default"/>
          <w:footerReference r:id="rId6" w:type="default"/>
          <w:pgSz w:w="11906" w:h="16838"/>
          <w:pgMar w:top="1440" w:right="1800" w:bottom="1440" w:left="1800" w:header="567" w:footer="964" w:gutter="0"/>
          <w:pgNumType w:start="1"/>
          <w:cols w:space="720" w:num="1"/>
          <w:docGrid w:type="lines" w:linePitch="312" w:charSpace="0"/>
        </w:sect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widowControl/>
        <w:spacing w:line="360" w:lineRule="auto"/>
        <w:jc w:val="center"/>
        <w:rPr>
          <w:rStyle w:val="10"/>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黑体" w:hAnsi="黑体" w:eastAsia="黑体"/>
          <w:sz w:val="44"/>
          <w:szCs w:val="44"/>
        </w:rPr>
      </w:pPr>
      <w:r>
        <w:rPr>
          <w:rStyle w:val="10"/>
          <w:rFonts w:hint="eastAsia" w:ascii="黑体" w:hAnsi="黑体" w:eastAsia="黑体"/>
          <w:sz w:val="44"/>
          <w:szCs w:val="44"/>
        </w:rPr>
        <w:t>兴银理财稳利安盈封闭式理财产品</w:t>
      </w:r>
    </w:p>
    <w:p>
      <w:pPr>
        <w:adjustRightInd w:val="0"/>
        <w:spacing w:line="360" w:lineRule="auto"/>
        <w:jc w:val="center"/>
        <w:rPr>
          <w:rStyle w:val="10"/>
          <w:rFonts w:ascii="黑体" w:hAnsi="黑体" w:eastAsia="黑体"/>
          <w:sz w:val="44"/>
          <w:szCs w:val="44"/>
        </w:rPr>
      </w:pPr>
      <w:r>
        <w:rPr>
          <w:rStyle w:val="10"/>
          <w:rFonts w:hint="eastAsia" w:ascii="黑体" w:hAnsi="黑体" w:eastAsia="黑体"/>
          <w:sz w:val="44"/>
          <w:szCs w:val="44"/>
        </w:rPr>
        <w:t>产品说明书</w:t>
      </w:r>
    </w:p>
    <w:p>
      <w:pPr>
        <w:adjustRightInd w:val="0"/>
        <w:spacing w:line="360" w:lineRule="auto"/>
        <w:jc w:val="center"/>
        <w:rPr>
          <w:rStyle w:val="10"/>
          <w:rFonts w:ascii="宋体" w:hAnsi="宋体"/>
          <w:sz w:val="32"/>
          <w:szCs w:val="32"/>
        </w:rPr>
      </w:pPr>
    </w:p>
    <w:p>
      <w:pPr>
        <w:adjustRightInd w:val="0"/>
        <w:spacing w:line="360" w:lineRule="auto"/>
        <w:rPr>
          <w:rStyle w:val="10"/>
          <w:rFonts w:ascii="黑体" w:hAnsi="黑体" w:eastAsia="黑体"/>
          <w:bCs w:val="0"/>
          <w:sz w:val="28"/>
          <w:szCs w:val="28"/>
        </w:rPr>
      </w:pPr>
      <w:r>
        <w:rPr>
          <w:rStyle w:val="10"/>
          <w:rFonts w:hint="eastAsia" w:ascii="黑体" w:hAnsi="黑体" w:eastAsia="黑体"/>
          <w:bCs w:val="0"/>
          <w:sz w:val="28"/>
          <w:szCs w:val="28"/>
        </w:rPr>
        <w:t xml:space="preserve"> </w:t>
      </w:r>
    </w:p>
    <w:p>
      <w:pPr>
        <w:adjustRightInd w:val="0"/>
        <w:spacing w:line="360" w:lineRule="auto"/>
        <w:jc w:val="center"/>
        <w:rPr>
          <w:rStyle w:val="10"/>
          <w:rFonts w:ascii="黑体" w:hAnsi="黑体" w:eastAsia="黑体"/>
          <w:bCs w:val="0"/>
          <w:sz w:val="28"/>
          <w:szCs w:val="28"/>
        </w:rPr>
      </w:pPr>
      <w:r>
        <w:rPr>
          <w:rStyle w:val="10"/>
          <w:rFonts w:hint="eastAsia" w:ascii="黑体" w:hAnsi="黑体" w:eastAsia="黑体"/>
          <w:bCs w:val="0"/>
          <w:sz w:val="28"/>
          <w:szCs w:val="28"/>
        </w:rPr>
        <w:t xml:space="preserve"> </w:t>
      </w:r>
    </w:p>
    <w:p>
      <w:pPr>
        <w:adjustRightInd w:val="0"/>
        <w:spacing w:line="360" w:lineRule="auto"/>
        <w:jc w:val="center"/>
        <w:rPr>
          <w:rStyle w:val="10"/>
          <w:rFonts w:ascii="黑体" w:hAnsi="黑体" w:eastAsia="黑体"/>
          <w:bCs w:val="0"/>
          <w:sz w:val="28"/>
          <w:szCs w:val="28"/>
        </w:rPr>
      </w:pPr>
    </w:p>
    <w:p>
      <w:pPr>
        <w:adjustRightInd w:val="0"/>
        <w:spacing w:line="360" w:lineRule="auto"/>
        <w:jc w:val="center"/>
        <w:rPr>
          <w:rStyle w:val="10"/>
          <w:rFonts w:ascii="宋体" w:hAnsi="宋体" w:cs="Times New Roman"/>
          <w:sz w:val="32"/>
          <w:szCs w:val="32"/>
        </w:rPr>
      </w:pPr>
      <w:r>
        <w:rPr>
          <w:rStyle w:val="10"/>
          <w:rFonts w:hint="eastAsia" w:ascii="宋体" w:hAnsi="宋体" w:cs="Times New Roman"/>
          <w:sz w:val="32"/>
          <w:szCs w:val="32"/>
        </w:rPr>
        <w:t>理财产品管理人：兴银理财有限责任公司</w:t>
      </w: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宋体" w:hAnsi="宋体" w:cs="Times New Roman"/>
          <w:sz w:val="32"/>
          <w:szCs w:val="32"/>
        </w:rPr>
      </w:pPr>
      <w:r>
        <w:rPr>
          <w:rStyle w:val="10"/>
          <w:rFonts w:hint="eastAsia" w:ascii="宋体" w:hAnsi="宋体" w:cs="Times New Roman"/>
          <w:sz w:val="32"/>
          <w:szCs w:val="32"/>
        </w:rPr>
        <w:t>日期</w:t>
      </w:r>
      <w:r>
        <w:rPr>
          <w:rStyle w:val="10"/>
          <w:rFonts w:ascii="宋体" w:hAnsi="宋体" w:cs="Times New Roman"/>
          <w:sz w:val="32"/>
          <w:szCs w:val="32"/>
        </w:rPr>
        <w:t>：</w:t>
      </w:r>
      <w:r>
        <w:rPr>
          <w:rStyle w:val="10"/>
          <w:rFonts w:hint="eastAsia" w:ascii="宋体" w:hAnsi="宋体" w:cs="Times New Roman"/>
          <w:sz w:val="32"/>
          <w:szCs w:val="32"/>
        </w:rPr>
        <w:t>【2023】年【10】月</w:t>
      </w:r>
    </w:p>
    <w:p>
      <w:pPr>
        <w:adjustRightInd w:val="0"/>
        <w:spacing w:line="360" w:lineRule="auto"/>
        <w:jc w:val="center"/>
        <w:rPr>
          <w:rStyle w:val="10"/>
          <w:rFonts w:ascii="宋体" w:hAnsi="宋体"/>
          <w:sz w:val="32"/>
          <w:szCs w:val="32"/>
        </w:rPr>
      </w:pPr>
    </w:p>
    <w:p>
      <w:pPr>
        <w:pStyle w:val="1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15"/>
            <w:spacing w:line="360" w:lineRule="auto"/>
            <w:jc w:val="center"/>
          </w:pPr>
          <w:bookmarkStart w:id="66" w:name="_Toc78276587"/>
          <w:r>
            <w:rPr>
              <w:lang w:val="zh-CN"/>
            </w:rPr>
            <w:t>目录</w:t>
          </w:r>
        </w:p>
        <w:p>
          <w:pPr>
            <w:pStyle w:val="5"/>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11"/>
              <w:rFonts w:hint="eastAsia" w:ascii="Times New Roman"/>
            </w:rPr>
            <w:t>第一条</w:t>
          </w:r>
          <w:r>
            <w:rPr>
              <w:rStyle w:val="11"/>
              <w:rFonts w:ascii="Times New Roman"/>
            </w:rPr>
            <w:t xml:space="preserve">  </w:t>
          </w:r>
          <w:r>
            <w:rPr>
              <w:rStyle w:val="11"/>
              <w:rFonts w:hint="eastAsia" w:ascii="Times New Roman"/>
            </w:rPr>
            <w:t>释义</w:t>
          </w:r>
          <w:r>
            <w:tab/>
          </w:r>
          <w:r>
            <w:fldChar w:fldCharType="begin"/>
          </w:r>
          <w:r>
            <w:instrText xml:space="preserve"> PAGEREF _Toc116649649 \h </w:instrText>
          </w:r>
          <w:r>
            <w:fldChar w:fldCharType="separate"/>
          </w:r>
          <w:r>
            <w:t>3</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11"/>
              <w:rFonts w:hint="eastAsia" w:hAnsi="宋体"/>
            </w:rPr>
            <w:t>第二条</w:t>
          </w:r>
          <w:r>
            <w:rPr>
              <w:rStyle w:val="11"/>
              <w:rFonts w:hAnsi="宋体"/>
            </w:rPr>
            <w:t xml:space="preserve">  </w:t>
          </w:r>
          <w:r>
            <w:rPr>
              <w:rStyle w:val="11"/>
              <w:rFonts w:hint="eastAsia" w:hAnsi="宋体"/>
            </w:rPr>
            <w:t>理财产品基本情况</w:t>
          </w:r>
          <w:r>
            <w:rPr>
              <w:rStyle w:val="11"/>
              <w:rFonts w:hAnsi="宋体"/>
            </w:rPr>
            <w:t xml:space="preserve"> </w:t>
          </w:r>
          <w:r>
            <w:tab/>
          </w:r>
          <w:r>
            <w:fldChar w:fldCharType="begin"/>
          </w:r>
          <w:r>
            <w:instrText xml:space="preserve"> PAGEREF _Toc116649650 \h </w:instrText>
          </w:r>
          <w:r>
            <w:fldChar w:fldCharType="separate"/>
          </w:r>
          <w:r>
            <w:t>7</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11"/>
              <w:rFonts w:hint="eastAsia" w:ascii="Times New Roman"/>
            </w:rPr>
            <w:t>第三条</w:t>
          </w:r>
          <w:r>
            <w:rPr>
              <w:rStyle w:val="11"/>
              <w:rFonts w:ascii="Times New Roman"/>
            </w:rPr>
            <w:t xml:space="preserve">  </w:t>
          </w:r>
          <w:r>
            <w:rPr>
              <w:rStyle w:val="11"/>
              <w:rFonts w:hint="eastAsia" w:ascii="Times New Roman"/>
            </w:rPr>
            <w:t>理财产品的认购</w:t>
          </w:r>
          <w:r>
            <w:tab/>
          </w:r>
          <w:r>
            <w:fldChar w:fldCharType="begin"/>
          </w:r>
          <w:r>
            <w:instrText xml:space="preserve"> PAGEREF _Toc116649651 \h </w:instrText>
          </w:r>
          <w:r>
            <w:fldChar w:fldCharType="separate"/>
          </w:r>
          <w:r>
            <w:t>12</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11"/>
              <w:rFonts w:hint="eastAsia" w:ascii="Times New Roman"/>
            </w:rPr>
            <w:t>第四条</w:t>
          </w:r>
          <w:r>
            <w:rPr>
              <w:rStyle w:val="11"/>
              <w:rFonts w:ascii="Times New Roman"/>
            </w:rPr>
            <w:t xml:space="preserve">  </w:t>
          </w:r>
          <w:r>
            <w:rPr>
              <w:rStyle w:val="11"/>
              <w:rFonts w:hint="eastAsia" w:ascii="Times New Roman"/>
            </w:rPr>
            <w:t>理财产品的申购与赎回</w:t>
          </w:r>
          <w:r>
            <w:tab/>
          </w:r>
          <w:r>
            <w:fldChar w:fldCharType="begin"/>
          </w:r>
          <w:r>
            <w:instrText xml:space="preserve"> PAGEREF _Toc116649652 \h </w:instrText>
          </w:r>
          <w:r>
            <w:fldChar w:fldCharType="separate"/>
          </w:r>
          <w:r>
            <w:t>14</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11"/>
              <w:rFonts w:hint="eastAsia" w:ascii="Times New Roman"/>
            </w:rPr>
            <w:t>第五条</w:t>
          </w:r>
          <w:r>
            <w:rPr>
              <w:rStyle w:val="11"/>
              <w:rFonts w:ascii="Times New Roman"/>
            </w:rPr>
            <w:t xml:space="preserve">  </w:t>
          </w:r>
          <w:r>
            <w:rPr>
              <w:rStyle w:val="11"/>
              <w:rFonts w:hint="eastAsia" w:ascii="Times New Roman"/>
            </w:rPr>
            <w:t>理财产品的投资</w:t>
          </w:r>
          <w:r>
            <w:tab/>
          </w:r>
          <w:r>
            <w:fldChar w:fldCharType="begin"/>
          </w:r>
          <w:r>
            <w:instrText xml:space="preserve"> PAGEREF _Toc116649653 \h </w:instrText>
          </w:r>
          <w:r>
            <w:fldChar w:fldCharType="separate"/>
          </w:r>
          <w:r>
            <w:t>15</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11"/>
              <w:rFonts w:hint="eastAsia" w:ascii="Times New Roman"/>
            </w:rPr>
            <w:t>第六条</w:t>
          </w:r>
          <w:r>
            <w:rPr>
              <w:rStyle w:val="11"/>
              <w:rFonts w:ascii="Times New Roman"/>
            </w:rPr>
            <w:t xml:space="preserve">  </w:t>
          </w:r>
          <w:r>
            <w:rPr>
              <w:rStyle w:val="11"/>
              <w:rFonts w:hint="eastAsia" w:ascii="Times New Roman"/>
            </w:rPr>
            <w:t>理财产品的资产</w:t>
          </w:r>
          <w:r>
            <w:tab/>
          </w:r>
          <w:r>
            <w:fldChar w:fldCharType="begin"/>
          </w:r>
          <w:r>
            <w:instrText xml:space="preserve"> PAGEREF _Toc116649654 \h </w:instrText>
          </w:r>
          <w:r>
            <w:fldChar w:fldCharType="separate"/>
          </w:r>
          <w:r>
            <w:t>18</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11"/>
              <w:rFonts w:hint="eastAsia" w:ascii="Times New Roman"/>
            </w:rPr>
            <w:t>第七条</w:t>
          </w:r>
          <w:r>
            <w:rPr>
              <w:rStyle w:val="11"/>
              <w:rFonts w:ascii="Times New Roman"/>
            </w:rPr>
            <w:t xml:space="preserve">  </w:t>
          </w:r>
          <w:r>
            <w:rPr>
              <w:rStyle w:val="11"/>
              <w:rFonts w:hint="eastAsia" w:ascii="Times New Roman"/>
            </w:rPr>
            <w:t>理财产品项下资产的估值</w:t>
          </w:r>
          <w:r>
            <w:tab/>
          </w:r>
          <w:r>
            <w:fldChar w:fldCharType="begin"/>
          </w:r>
          <w:r>
            <w:instrText xml:space="preserve"> PAGEREF _Toc116649655 \h </w:instrText>
          </w:r>
          <w:r>
            <w:fldChar w:fldCharType="separate"/>
          </w:r>
          <w:r>
            <w:t>19</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11"/>
              <w:rFonts w:hint="eastAsia" w:ascii="Times New Roman"/>
            </w:rPr>
            <w:t>第八条</w:t>
          </w:r>
          <w:r>
            <w:rPr>
              <w:rStyle w:val="11"/>
              <w:rFonts w:ascii="Times New Roman"/>
            </w:rPr>
            <w:t xml:space="preserve">  </w:t>
          </w:r>
          <w:r>
            <w:rPr>
              <w:rStyle w:val="11"/>
              <w:rFonts w:hint="eastAsia" w:ascii="Times New Roman"/>
            </w:rPr>
            <w:t>理财产品的利益分配</w:t>
          </w:r>
          <w:r>
            <w:tab/>
          </w:r>
          <w:r>
            <w:fldChar w:fldCharType="begin"/>
          </w:r>
          <w:r>
            <w:instrText xml:space="preserve"> PAGEREF _Toc116649656 \h </w:instrText>
          </w:r>
          <w:r>
            <w:fldChar w:fldCharType="separate"/>
          </w:r>
          <w:r>
            <w:t>23</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11"/>
              <w:rFonts w:hint="eastAsia" w:ascii="Times New Roman"/>
            </w:rPr>
            <w:t>第九条</w:t>
          </w:r>
          <w:r>
            <w:rPr>
              <w:rStyle w:val="11"/>
              <w:rFonts w:ascii="Times New Roman"/>
            </w:rPr>
            <w:t xml:space="preserve">  </w:t>
          </w:r>
          <w:r>
            <w:rPr>
              <w:rStyle w:val="11"/>
              <w:rFonts w:hint="eastAsia" w:ascii="Times New Roman"/>
            </w:rPr>
            <w:t>理财产品的费用与税收</w:t>
          </w:r>
          <w:r>
            <w:tab/>
          </w:r>
          <w:r>
            <w:fldChar w:fldCharType="begin"/>
          </w:r>
          <w:r>
            <w:instrText xml:space="preserve"> PAGEREF _Toc116649657 \h </w:instrText>
          </w:r>
          <w:r>
            <w:fldChar w:fldCharType="separate"/>
          </w:r>
          <w:r>
            <w:t>24</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11"/>
              <w:rFonts w:hint="eastAsia"/>
            </w:rPr>
            <w:t>第十条</w:t>
          </w:r>
          <w:r>
            <w:rPr>
              <w:rStyle w:val="11"/>
            </w:rPr>
            <w:t xml:space="preserve">  </w:t>
          </w:r>
          <w:r>
            <w:rPr>
              <w:rStyle w:val="11"/>
              <w:rFonts w:hint="eastAsia"/>
            </w:rPr>
            <w:t>理财产品的终止与清算</w:t>
          </w:r>
          <w:r>
            <w:tab/>
          </w:r>
          <w:r>
            <w:fldChar w:fldCharType="begin"/>
          </w:r>
          <w:r>
            <w:instrText xml:space="preserve"> PAGEREF _Toc116649658 \h </w:instrText>
          </w:r>
          <w:r>
            <w:fldChar w:fldCharType="separate"/>
          </w:r>
          <w:r>
            <w:t>27</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11"/>
              <w:rFonts w:hint="eastAsia" w:ascii="Times New Roman"/>
            </w:rPr>
            <w:t>第十一条</w:t>
          </w:r>
          <w:r>
            <w:rPr>
              <w:rStyle w:val="11"/>
              <w:rFonts w:ascii="Times New Roman"/>
            </w:rPr>
            <w:t xml:space="preserve">  </w:t>
          </w:r>
          <w:r>
            <w:rPr>
              <w:rStyle w:val="11"/>
              <w:rFonts w:hint="eastAsia" w:ascii="Times New Roman"/>
            </w:rPr>
            <w:t>理财产品的信息披露</w:t>
          </w:r>
          <w:r>
            <w:tab/>
          </w:r>
          <w:r>
            <w:fldChar w:fldCharType="begin"/>
          </w:r>
          <w:r>
            <w:instrText xml:space="preserve"> PAGEREF _Toc116649659 \h </w:instrText>
          </w:r>
          <w:r>
            <w:fldChar w:fldCharType="separate"/>
          </w:r>
          <w:r>
            <w:t>29</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11"/>
              <w:rFonts w:hint="eastAsia" w:ascii="Times New Roman"/>
            </w:rPr>
            <w:t>第十二条</w:t>
          </w:r>
          <w:r>
            <w:rPr>
              <w:rStyle w:val="11"/>
              <w:rFonts w:ascii="Times New Roman"/>
            </w:rPr>
            <w:t xml:space="preserve">  </w:t>
          </w:r>
          <w:r>
            <w:rPr>
              <w:rStyle w:val="11"/>
              <w:rFonts w:hint="eastAsia" w:ascii="Times New Roman"/>
            </w:rPr>
            <w:t>理财产品的风险揭示</w:t>
          </w:r>
          <w:r>
            <w:tab/>
          </w:r>
          <w:r>
            <w:fldChar w:fldCharType="begin"/>
          </w:r>
          <w:r>
            <w:instrText xml:space="preserve"> PAGEREF _Toc116649660 \h </w:instrText>
          </w:r>
          <w:r>
            <w:fldChar w:fldCharType="separate"/>
          </w:r>
          <w:r>
            <w:t>31</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67"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66"/>
      <w:bookmarkEnd w:id="67"/>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r>
        <w:rPr>
          <w:rFonts w:asciiTheme="majorEastAsia" w:hAnsiTheme="majorEastAsia" w:eastAsiaTheme="majorEastAsia"/>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2）提供单只或多只理财产品投资建议；3）为投资者办理理财产品认购、申购和赎回；4）银保监会认定的其他业务活动。各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1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1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：指产品管理人向投资者提供的，用于描述产品特征，约定权利义务的文件。具体指《兴银理财稳利安盈封闭式理财产品销售文件》，包括《投资协议书》、《产品说明书》、《（代理）销售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《投资协议书》：指管理人统一编制的《兴银理财稳利安盈封闭式理财产品投资协议书》，以及对该文件的有效修改或补充。</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）《产品说明书》：指管理人统一编制的《兴银理财稳利安盈封闭式理财产品产品说明书》，以及对该文件的有效修改或补充。</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（4）《（代理）销售协议书》：指管理人统一编制的《兴银理财稳利安盈封闭式理财产品（代理）销售协议书》或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的《兴银理财稳利安盈封闭式理财产品（代理）销售协议书》（文件名称以代理销售机构实际编制为准），以及对该文件的有效修改或补充。</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）《风险揭示书》：指管理人统一编制的《兴银理财稳利安盈封闭式理财产品风险揭示书》或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的《兴银理财稳利安盈封闭式理财产品风险揭示书》（文件名称以代理销售机构实际编制为准），以及对该文件的有效修改或补充。</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）《投资者权益须知》：指管理人统一编制的《兴银理财稳利安盈封闭式理财产品投资者权益须知》或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《兴银理财稳利安盈封闭式理财产品投资者权益须知》（文件名称以代理销售机构实际编制为准），以及对该文件的有效修改或补充。</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1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业绩比较基准不代表理财产品未来表现，不等于理财产品实际收益，不作为产品收益的业绩保证，投资须谨慎。</w:t>
      </w:r>
    </w:p>
    <w:p>
      <w:pPr>
        <w:pStyle w:val="1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w:t>
      </w:r>
      <w:r>
        <w:rPr>
          <w:rFonts w:ascii="黑体" w:hAnsi="黑体" w:eastAsia="黑体"/>
          <w:bCs/>
          <w:color w:val="auto"/>
          <w:sz w:val="18"/>
          <w:szCs w:val="18"/>
        </w:rPr>
        <w:t>基准</w:t>
      </w:r>
      <w:r>
        <w:rPr>
          <w:rFonts w:hint="eastAsia" w:ascii="黑体" w:hAnsi="黑体" w:eastAsia="黑体"/>
          <w:bCs/>
          <w:color w:val="auto"/>
          <w:sz w:val="18"/>
          <w:szCs w:val="18"/>
        </w:rPr>
        <w:t>：</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w:t>
      </w:r>
      <w:r>
        <w:rPr>
          <w:rFonts w:ascii="黑体" w:hAnsi="黑体" w:eastAsia="黑体"/>
          <w:bCs/>
          <w:color w:val="auto"/>
          <w:sz w:val="18"/>
          <w:szCs w:val="18"/>
        </w:rPr>
        <w:t>计提基准</w:t>
      </w:r>
      <w:r>
        <w:rPr>
          <w:rFonts w:hint="eastAsia" w:ascii="黑体" w:hAnsi="黑体" w:eastAsia="黑体"/>
          <w:bCs/>
          <w:color w:val="auto"/>
          <w:sz w:val="18"/>
          <w:szCs w:val="18"/>
        </w:rPr>
        <w:t>不代表理财产品未来表现，不等于理财产品实际收益，不作为产品收益的业绩保证，投资须谨慎。</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1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1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1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1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1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1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1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1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1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1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68" w:name="_Toc79154665"/>
      <w:bookmarkStart w:id="69" w:name="_Toc116649650"/>
      <w:r>
        <w:rPr>
          <w:rFonts w:hint="eastAsia" w:hAnsi="宋体"/>
          <w:sz w:val="28"/>
          <w:szCs w:val="28"/>
        </w:rPr>
        <w:t>第二条  理财产品基本情况</w:t>
      </w:r>
      <w:bookmarkEnd w:id="68"/>
      <w:r>
        <w:rPr>
          <w:rFonts w:hint="eastAsia" w:hAnsi="宋体"/>
          <w:sz w:val="28"/>
          <w:szCs w:val="28"/>
        </w:rPr>
        <w:t xml:space="preserve"> </w:t>
      </w:r>
      <w:bookmarkEnd w:id="69"/>
    </w:p>
    <w:tbl>
      <w:tblPr>
        <w:tblStyle w:val="7"/>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兴银理财稳利安盈封闭式2023年55期固收类理财产品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稳利安盈封闭式2023年55期（安享款）A】</w:t>
            </w:r>
            <w:r>
              <w:rPr>
                <w:rFonts w:hint="eastAsia" w:ascii="宋体" w:hAnsi="宋体"/>
                <w:bCs/>
                <w:color w:val="000000" w:themeColor="text1"/>
                <w:sz w:val="18"/>
                <w:szCs w:val="18"/>
                <w14:textFill>
                  <w14:solidFill>
                    <w14:schemeClr w14:val="tx1"/>
                  </w14:solidFill>
                </w14:textFill>
              </w:rPr>
              <w:t>（适用【A】类份额）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稳利安盈封闭式2023年55期B】</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sz w:val="18"/>
                <w:szCs w:val="18"/>
              </w:rPr>
              <w:t>B</w:t>
            </w:r>
            <w:r>
              <w:rPr>
                <w:rFonts w:hint="eastAsia" w:ascii="宋体" w:hAnsi="宋体"/>
                <w:bCs/>
                <w:color w:val="000000" w:themeColor="text1"/>
                <w:sz w:val="18"/>
                <w:szCs w:val="18"/>
                <w14:textFill>
                  <w14:solidFill>
                    <w14:schemeClr w14:val="tx1"/>
                  </w14:solidFill>
                </w14:textFill>
              </w:rPr>
              <w:t>】类份额）</w:t>
            </w:r>
          </w:p>
          <w:p>
            <w:pPr>
              <w:spacing w:line="360" w:lineRule="auto"/>
              <w:rPr>
                <w:rFonts w:ascii="宋体" w:hAnsi="宋体"/>
                <w:bCs/>
                <w:sz w:val="18"/>
                <w:szCs w:val="18"/>
              </w:rPr>
            </w:pPr>
            <w:r>
              <w:rPr>
                <w:rFonts w:ascii="宋体" w:hAnsi="宋体"/>
                <w:bCs/>
                <w:sz w:val="18"/>
                <w:szCs w:val="18"/>
              </w:rPr>
              <w:t>【</w:t>
            </w:r>
            <w:r>
              <w:rPr>
                <w:rFonts w:hint="eastAsia" w:ascii="宋体" w:hAnsi="宋体"/>
                <w:bCs/>
                <w:sz w:val="18"/>
                <w:szCs w:val="18"/>
              </w:rPr>
              <w:t>稳利安盈封闭式2023年55期C】</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
                <w:sz w:val="18"/>
                <w:szCs w:val="18"/>
              </w:rPr>
            </w:pPr>
            <w:r>
              <w:rPr>
                <w:rFonts w:hint="eastAsia" w:asciiTheme="minorEastAsia" w:hAnsiTheme="minorEastAsia"/>
                <w:sz w:val="18"/>
                <w:szCs w:val="18"/>
              </w:rPr>
              <w:t>【</w:t>
            </w:r>
            <w:r>
              <w:rPr>
                <w:rFonts w:ascii="宋体" w:hAnsi="宋体"/>
                <w:bCs/>
                <w:sz w:val="18"/>
                <w:szCs w:val="18"/>
              </w:rPr>
              <w:t>Z7002023001138</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ascii="宋体" w:hAnsi="宋体"/>
                <w:bCs/>
                <w:color w:val="000000" w:themeColor="text1"/>
                <w:sz w:val="18"/>
                <w:szCs w:val="18"/>
                <w14:textFill>
                  <w14:solidFill>
                    <w14:schemeClr w14:val="tx1"/>
                  </w14:solidFill>
                </w14:textFill>
              </w:rPr>
              <w:t>9A123550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9A12355A</w:t>
            </w:r>
            <w:r>
              <w:rPr>
                <w:rFonts w:hint="eastAsia" w:ascii="宋体" w:hAnsi="宋体"/>
                <w:sz w:val="18"/>
                <w:szCs w:val="18"/>
              </w:rPr>
              <w:t>】（适用【</w:t>
            </w:r>
            <w:r>
              <w:rPr>
                <w:rFonts w:ascii="宋体" w:hAnsi="宋体"/>
                <w:sz w:val="18"/>
                <w:szCs w:val="18"/>
              </w:rPr>
              <w:t>A</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9A12355B</w:t>
            </w:r>
            <w:r>
              <w:rPr>
                <w:rFonts w:hint="eastAsia" w:ascii="宋体" w:hAnsi="宋体"/>
                <w:sz w:val="18"/>
                <w:szCs w:val="18"/>
              </w:rPr>
              <w:t>】（适用【</w:t>
            </w:r>
            <w:r>
              <w:rPr>
                <w:rFonts w:ascii="宋体" w:hAnsi="宋体"/>
                <w:sz w:val="18"/>
                <w:szCs w:val="18"/>
              </w:rPr>
              <w:t>B</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9A12355C</w:t>
            </w:r>
            <w:r>
              <w:rPr>
                <w:rFonts w:hint="eastAsia" w:ascii="宋体" w:hAnsi="宋体"/>
                <w:sz w:val="18"/>
                <w:szCs w:val="18"/>
              </w:rPr>
              <w:t>】（适用【</w:t>
            </w:r>
            <w:r>
              <w:rPr>
                <w:rFonts w:ascii="宋体" w:hAnsi="宋体"/>
                <w:sz w:val="18"/>
                <w:szCs w:val="18"/>
              </w:rPr>
              <w:t>C</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rPr>
                <w:rFonts w:ascii="宋体" w:hAnsi="宋体"/>
                <w:sz w:val="18"/>
                <w:szCs w:val="18"/>
              </w:rPr>
            </w:pPr>
            <w:r>
              <w:rPr>
                <w:rFonts w:hint="eastAsia" w:ascii="宋体" w:hAnsi="宋体"/>
                <w:sz w:val="18"/>
                <w:szCs w:val="18"/>
              </w:rPr>
              <w:t>□ 直销适用</w:t>
            </w:r>
          </w:p>
          <w:p>
            <w:pPr>
              <w:spacing w:line="360" w:lineRule="auto"/>
              <w:rPr>
                <w:rFonts w:ascii="宋体" w:hAnsi="宋体"/>
                <w:sz w:val="18"/>
                <w:szCs w:val="18"/>
              </w:rPr>
            </w:pPr>
            <w:r>
              <w:rPr>
                <w:rFonts w:hint="eastAsia" w:ascii="宋体" w:hAnsi="宋体"/>
                <w:sz w:val="18"/>
                <w:szCs w:val="18"/>
              </w:rPr>
              <w:t>本产品由产品管理人销售。</w:t>
            </w:r>
          </w:p>
          <w:p>
            <w:pPr>
              <w:spacing w:line="360" w:lineRule="auto"/>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规模为【1</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■有固定期限：【146天】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【2023</w:t>
            </w:r>
            <w:r>
              <w:rPr>
                <w:rFonts w:cs="Times New Roman" w:asciiTheme="minorEastAsia" w:hAnsiTheme="minorEastAsia"/>
                <w:sz w:val="18"/>
                <w:szCs w:val="18"/>
              </w:rPr>
              <w:t>】年【10</w:t>
            </w:r>
            <w:r>
              <w:rPr>
                <w:rFonts w:hint="eastAsia" w:cs="Times New Roman" w:asciiTheme="minorEastAsia" w:hAnsiTheme="minorEastAsia"/>
                <w:sz w:val="18"/>
                <w:szCs w:val="18"/>
              </w:rPr>
              <w:t>】月【</w:t>
            </w:r>
            <w:r>
              <w:rPr>
                <w:rFonts w:cs="Times New Roman" w:asciiTheme="minorEastAsia" w:hAnsiTheme="minorEastAsia"/>
                <w:sz w:val="18"/>
                <w:szCs w:val="18"/>
              </w:rPr>
              <w:t>13</w:t>
            </w:r>
            <w:r>
              <w:rPr>
                <w:rFonts w:hint="eastAsia" w:cs="Times New Roman" w:asciiTheme="minorEastAsia" w:hAnsiTheme="minorEastAsia"/>
                <w:sz w:val="18"/>
                <w:szCs w:val="18"/>
              </w:rPr>
              <w:t>】日【9：00】</w:t>
            </w:r>
            <w:r>
              <w:rPr>
                <w:rFonts w:hint="eastAsia" w:cs="仿宋_GB2312" w:asciiTheme="minorEastAsia" w:hAnsiTheme="minorEastAsia"/>
                <w:sz w:val="18"/>
                <w:szCs w:val="18"/>
              </w:rPr>
              <w:t>至</w:t>
            </w:r>
            <w:r>
              <w:rPr>
                <w:rFonts w:hint="eastAsia" w:cs="Times New Roman" w:asciiTheme="minorEastAsia" w:hAnsiTheme="minorEastAsia"/>
                <w:sz w:val="18"/>
                <w:szCs w:val="18"/>
              </w:rPr>
              <w:t>【2023</w:t>
            </w:r>
            <w:r>
              <w:rPr>
                <w:rFonts w:cs="Times New Roman" w:asciiTheme="minorEastAsia" w:hAnsiTheme="minorEastAsia"/>
                <w:sz w:val="18"/>
                <w:szCs w:val="18"/>
              </w:rPr>
              <w:t>】年【10</w:t>
            </w:r>
            <w:r>
              <w:rPr>
                <w:rFonts w:hint="eastAsia" w:cs="Times New Roman" w:asciiTheme="minorEastAsia" w:hAnsiTheme="minorEastAsia"/>
                <w:sz w:val="18"/>
                <w:szCs w:val="18"/>
              </w:rPr>
              <w:t>】月【18】日</w:t>
            </w:r>
            <w:r>
              <w:rPr>
                <w:rFonts w:hint="eastAsia" w:asciiTheme="majorEastAsia" w:hAnsiTheme="majorEastAsia" w:eastAsiaTheme="majorEastAsia"/>
                <w:sz w:val="18"/>
                <w:szCs w:val="18"/>
              </w:rPr>
              <w:t>【</w:t>
            </w:r>
            <w:r>
              <w:rPr>
                <w:rFonts w:hint="eastAsia" w:ascii="宋体" w:hAnsi="宋体"/>
                <w:sz w:val="18"/>
                <w:szCs w:val="18"/>
                <w:lang w:val="en-US" w:eastAsia="zh-CN"/>
              </w:rPr>
              <w:t>15：00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【2023</w:t>
            </w:r>
            <w:r>
              <w:rPr>
                <w:rFonts w:cs="Times New Roman" w:asciiTheme="minorEastAsia" w:hAnsiTheme="minorEastAsia"/>
                <w:sz w:val="18"/>
                <w:szCs w:val="18"/>
              </w:rPr>
              <w:t>】年【10</w:t>
            </w:r>
            <w:r>
              <w:rPr>
                <w:rFonts w:hint="eastAsia" w:cs="Times New Roman" w:asciiTheme="minorEastAsia" w:hAnsiTheme="minorEastAsia"/>
                <w:sz w:val="18"/>
                <w:szCs w:val="18"/>
              </w:rPr>
              <w:t>】月【</w:t>
            </w:r>
            <w:r>
              <w:rPr>
                <w:rFonts w:cs="Times New Roman" w:asciiTheme="minorEastAsia" w:hAnsiTheme="minorEastAsia"/>
                <w:sz w:val="18"/>
                <w:szCs w:val="18"/>
              </w:rPr>
              <w:t>19</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【2024</w:t>
            </w:r>
            <w:r>
              <w:rPr>
                <w:rFonts w:cs="Times New Roman" w:asciiTheme="minorEastAsia" w:hAnsiTheme="minorEastAsia"/>
                <w:sz w:val="18"/>
                <w:szCs w:val="18"/>
              </w:rPr>
              <w:t>】年【3</w:t>
            </w:r>
            <w:r>
              <w:rPr>
                <w:rFonts w:hint="eastAsia" w:cs="Times New Roman" w:asciiTheme="minorEastAsia" w:hAnsiTheme="minorEastAsia"/>
                <w:sz w:val="18"/>
                <w:szCs w:val="18"/>
              </w:rPr>
              <w:t>】月【13】日（遇节假日顺延）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每笔购买起点金额为【1】元；超出起点金额的部分以【0.01】元的整数倍递增。（适用【A/</w:t>
            </w:r>
            <w:r>
              <w:rPr>
                <w:rFonts w:asciiTheme="majorEastAsia" w:hAnsiTheme="majorEastAsia" w:eastAsiaTheme="majorEastAsia"/>
                <w:sz w:val="18"/>
                <w:szCs w:val="18"/>
              </w:rPr>
              <w:t>B/C】</w:t>
            </w:r>
            <w:r>
              <w:rPr>
                <w:rFonts w:hint="eastAsia" w:hAnsi="宋体"/>
                <w:sz w:val="18"/>
                <w:szCs w:val="18"/>
              </w:rPr>
              <w:t>类份额</w:t>
            </w:r>
            <w:r>
              <w:rPr>
                <w:rFonts w:hAnsi="宋体"/>
                <w:sz w:val="18"/>
                <w:szCs w:val="18"/>
              </w:rPr>
              <w:t>）</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14"/>
              <w:spacing w:line="360" w:lineRule="auto"/>
              <w:jc w:val="both"/>
              <w:rPr>
                <w:rFonts w:hAnsi="宋体"/>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pStyle w:val="14"/>
              <w:spacing w:line="360" w:lineRule="auto"/>
              <w:jc w:val="both"/>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14"/>
              <w:spacing w:line="360" w:lineRule="auto"/>
              <w:jc w:val="both"/>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14"/>
              <w:spacing w:line="360" w:lineRule="auto"/>
              <w:jc w:val="both"/>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14"/>
              <w:spacing w:line="360" w:lineRule="auto"/>
              <w:jc w:val="both"/>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14"/>
              <w:spacing w:line="360" w:lineRule="auto"/>
              <w:jc w:val="both"/>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14"/>
              <w:spacing w:line="360" w:lineRule="auto"/>
              <w:jc w:val="both"/>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rPr>
                <w:rFonts w:hAnsi="宋体"/>
                <w:sz w:val="18"/>
                <w:szCs w:val="18"/>
              </w:rPr>
            </w:pPr>
            <w:r>
              <w:rPr>
                <w:rFonts w:hint="eastAsia" w:hAnsi="宋体"/>
                <w:sz w:val="18"/>
                <w:szCs w:val="18"/>
              </w:rPr>
              <w:t>（适用【/】类份额）</w:t>
            </w:r>
          </w:p>
          <w:p>
            <w:pPr>
              <w:autoSpaceDE w:val="0"/>
              <w:autoSpaceDN w:val="0"/>
              <w:adjustRightInd w:val="0"/>
              <w:spacing w:line="360" w:lineRule="auto"/>
              <w:rPr>
                <w:rFonts w:hAnsi="宋体"/>
                <w:b/>
                <w:sz w:val="18"/>
                <w:szCs w:val="18"/>
              </w:rPr>
            </w:pPr>
            <w:r>
              <w:rPr>
                <w:rFonts w:hAnsi="宋体"/>
                <w:b/>
                <w:sz w:val="18"/>
                <w:szCs w:val="18"/>
              </w:rPr>
              <w:t>1.业绩比较基准的设置</w:t>
            </w:r>
          </w:p>
          <w:p>
            <w:pPr>
              <w:autoSpaceDE w:val="0"/>
              <w:autoSpaceDN w:val="0"/>
              <w:adjustRightInd w:val="0"/>
              <w:spacing w:line="360" w:lineRule="auto"/>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autoSpaceDE w:val="0"/>
              <w:autoSpaceDN w:val="0"/>
              <w:adjustRightInd w:val="0"/>
              <w:spacing w:line="360" w:lineRule="auto"/>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w:t>
            </w:r>
            <w:r>
              <w:rPr>
                <w:rFonts w:hint="eastAsia" w:ascii="宋体" w:hAnsi="宋体"/>
                <w:b/>
                <w:bCs/>
                <w:sz w:val="18"/>
                <w:szCs w:val="18"/>
              </w:rPr>
              <w:t>产品投资债权类资产不低于80%，根据当前市场环境下大类资产合理配置比例及大类资产收益情况，考虑杠杆和费率等因素，并结合产品投资策略，设定业绩比较基准</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rPr>
                <w:rFonts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ascii="宋体" w:hAnsi="宋体"/>
                <w:bCs/>
                <w:sz w:val="18"/>
                <w:szCs w:val="18"/>
              </w:rPr>
              <w:t>85</w:t>
            </w:r>
            <w:r>
              <w:rPr>
                <w:rFonts w:hint="eastAsia" w:ascii="宋体" w:hAnsi="宋体"/>
                <w:bCs/>
                <w:sz w:val="18"/>
                <w:szCs w:val="18"/>
              </w:rPr>
              <w:t>%</w:t>
            </w:r>
            <w:r>
              <w:rPr>
                <w:rFonts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ascii="宋体" w:hAnsi="宋体"/>
                <w:bCs/>
                <w:sz w:val="18"/>
                <w:szCs w:val="18"/>
              </w:rPr>
              <w:t>56</w:t>
            </w:r>
            <w:r>
              <w:rPr>
                <w:rFonts w:hint="eastAsia" w:ascii="宋体" w:hAnsi="宋体"/>
                <w:bCs/>
                <w:sz w:val="18"/>
                <w:szCs w:val="18"/>
              </w:rPr>
              <w:t>%</w:t>
            </w:r>
            <w:r>
              <w:rPr>
                <w:rFonts w:ascii="宋体" w:hAnsi="宋体"/>
                <w:bCs/>
                <w:sz w:val="18"/>
                <w:szCs w:val="18"/>
              </w:rPr>
              <w:t>】；</w:t>
            </w:r>
          </w:p>
          <w:p>
            <w:pPr>
              <w:spacing w:line="360" w:lineRule="auto"/>
              <w:rPr>
                <w:rFonts w:ascii="宋体" w:hAnsi="宋体"/>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【2.</w:t>
            </w:r>
            <w:r>
              <w:rPr>
                <w:rFonts w:ascii="宋体" w:hAnsi="宋体"/>
                <w:bCs/>
                <w:sz w:val="18"/>
                <w:szCs w:val="18"/>
              </w:rPr>
              <w:t>71</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sz w:val="18"/>
                <w:szCs w:val="18"/>
              </w:rPr>
              <w:t>★</w:t>
            </w:r>
            <w:r>
              <w:rPr>
                <w:rFonts w:ascii="黑体" w:hAnsi="黑体" w:eastAsia="黑体"/>
                <w:bCs/>
                <w:sz w:val="18"/>
                <w:szCs w:val="18"/>
              </w:rPr>
              <w:t>业绩比较基准不代表理财产品未来表现，不等于理财产品实际收益，不作为产品收益的业绩保证，投资须谨慎。</w:t>
            </w:r>
          </w:p>
          <w:p>
            <w:pPr>
              <w:spacing w:line="360" w:lineRule="auto"/>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rPr>
                <w:rFonts w:hAnsi="宋体"/>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spacing w:line="360" w:lineRule="auto"/>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：管理人</w:t>
            </w:r>
            <w:r>
              <w:rPr>
                <w:rFonts w:ascii="宋体" w:hAnsi="宋体"/>
                <w:bCs/>
                <w:sz w:val="18"/>
                <w:szCs w:val="18"/>
              </w:rPr>
              <w:t>对本产品设定</w:t>
            </w:r>
            <w:r>
              <w:rPr>
                <w:rFonts w:hint="eastAsia" w:ascii="宋体" w:hAnsi="宋体"/>
                <w:bCs/>
                <w:sz w:val="18"/>
                <w:szCs w:val="18"/>
              </w:rPr>
              <w:t>业绩报酬计提基准：【业绩比较基准】。</w:t>
            </w:r>
          </w:p>
          <w:p>
            <w:pPr>
              <w:spacing w:line="360" w:lineRule="auto"/>
              <w:rPr>
                <w:rFonts w:ascii="宋体" w:hAnsi="宋体"/>
                <w:bCs/>
                <w:sz w:val="18"/>
                <w:szCs w:val="18"/>
              </w:rPr>
            </w:pPr>
            <w:r>
              <w:rPr>
                <w:rFonts w:hint="eastAsia" w:asciiTheme="majorEastAsia" w:hAnsiTheme="majorEastAsia" w:eastAsiaTheme="majorEastAsia"/>
                <w:b/>
                <w:kern w:val="0"/>
                <w:sz w:val="18"/>
                <w:szCs w:val="18"/>
              </w:rPr>
              <w:t>□ 产品管理人不设置业绩报酬计提基准。</w:t>
            </w:r>
          </w:p>
          <w:p>
            <w:pPr>
              <w:spacing w:line="360" w:lineRule="auto"/>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spacing w:line="360" w:lineRule="auto"/>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sz w:val="18"/>
                <w:szCs w:val="18"/>
              </w:rPr>
              <w:t>★</w:t>
            </w:r>
            <w:r>
              <w:rPr>
                <w:rFonts w:hint="eastAsia" w:ascii="黑体" w:hAnsi="黑体" w:eastAsia="黑体"/>
                <w:bCs/>
                <w:sz w:val="18"/>
                <w:szCs w:val="18"/>
              </w:rPr>
              <w:t>业绩报酬计提基准仅作为管理人计算超额业绩报酬的参照标准，不代表理财产品未来表现，不等于理财产品实际收益，不作为产品收益的业绩保证，投资须谨慎。</w:t>
            </w:r>
          </w:p>
          <w:p>
            <w:pPr>
              <w:spacing w:line="360" w:lineRule="auto"/>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（适用【/】类份额）</w:t>
            </w:r>
          </w:p>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Theme="majorEastAsia" w:hAnsiTheme="majorEastAsia" w:eastAsiaTheme="majorEastAsia"/>
                <w:sz w:val="18"/>
                <w:szCs w:val="18"/>
              </w:rPr>
            </w:pPr>
            <w:r>
              <w:rPr>
                <w:rFonts w:hint="eastAsia" w:ascii="宋体" w:hAnsi="宋体"/>
                <w:bCs/>
                <w:color w:val="000000" w:themeColor="text1"/>
                <w:sz w:val="18"/>
                <w:szCs w:val="18"/>
                <w14:textFill>
                  <w14:solidFill>
                    <w14:schemeClr w14:val="tx1"/>
                  </w14:solidFill>
                </w14:textFill>
              </w:rPr>
              <w:t>A类份额：</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01%</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Theme="majorEastAsia" w:hAnsiTheme="majorEastAsia" w:eastAsiaTheme="majorEastAsia"/>
                <w:sz w:val="18"/>
                <w:szCs w:val="18"/>
              </w:rPr>
            </w:pP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30%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Theme="majorEastAsia" w:hAnsiTheme="majorEastAsia" w:eastAsiaTheme="majorEastAsia"/>
                <w:sz w:val="18"/>
                <w:szCs w:val="18"/>
              </w:rPr>
            </w:pP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15%</w:t>
            </w:r>
            <w:r>
              <w:rPr>
                <w:rFonts w:hint="eastAsia"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【0.04%</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w:t>
            </w:r>
            <w:r>
              <w:rPr>
                <w:rFonts w:asciiTheme="majorEastAsia" w:hAnsiTheme="majorEastAsia" w:eastAsiaTheme="majorEastAsia"/>
                <w:sz w:val="18"/>
                <w:szCs w:val="18"/>
              </w:rPr>
              <w:t>1</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p>
          <w:p>
            <w:pPr>
              <w:widowControl/>
              <w:spacing w:line="360" w:lineRule="auto"/>
              <w:rPr>
                <w:rFonts w:ascii="宋体" w:hAnsi="宋体"/>
                <w:sz w:val="18"/>
                <w:szCs w:val="18"/>
              </w:rPr>
            </w:pPr>
            <w:r>
              <w:rPr>
                <w:rFonts w:hint="eastAsia" w:ascii="宋体" w:hAnsi="宋体"/>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50%】作为超额业绩报酬。</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rPr>
                <w:rFonts w:ascii="宋体" w:hAnsi="宋体"/>
                <w:sz w:val="18"/>
                <w:szCs w:val="18"/>
              </w:rPr>
            </w:pPr>
            <w:r>
              <w:rPr>
                <w:rFonts w:hint="eastAsia" w:ascii="宋体" w:hAnsi="宋体"/>
                <w:sz w:val="18"/>
                <w:szCs w:val="18"/>
              </w:rPr>
              <w:t>理财产品份额的质押将依照理财产品销售文件及销售机构的业务政策执行。</w:t>
            </w:r>
          </w:p>
        </w:tc>
      </w:tr>
    </w:tbl>
    <w:p>
      <w:pPr>
        <w:pStyle w:val="1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70" w:name="_Toc79154666"/>
      <w:bookmarkStart w:id="71" w:name="_Toc116649651"/>
      <w:r>
        <w:rPr>
          <w:rFonts w:ascii="Times New Roman"/>
          <w:sz w:val="30"/>
        </w:rPr>
        <w:t>第</w:t>
      </w:r>
      <w:r>
        <w:rPr>
          <w:rFonts w:hint="eastAsia" w:ascii="Times New Roman"/>
          <w:sz w:val="30"/>
        </w:rPr>
        <w:t>三条</w:t>
      </w:r>
      <w:r>
        <w:rPr>
          <w:rFonts w:ascii="Times New Roman"/>
          <w:sz w:val="30"/>
        </w:rPr>
        <w:t xml:space="preserve">  </w:t>
      </w:r>
      <w:bookmarkStart w:id="72" w:name="_Toc79392573"/>
      <w:r>
        <w:rPr>
          <w:rFonts w:hint="eastAsia" w:ascii="Times New Roman"/>
          <w:sz w:val="30"/>
        </w:rPr>
        <w:t>理财产品的认购</w:t>
      </w:r>
      <w:bookmarkEnd w:id="70"/>
      <w:bookmarkEnd w:id="71"/>
    </w:p>
    <w:p>
      <w:pPr>
        <w:spacing w:line="360" w:lineRule="auto"/>
        <w:ind w:firstLine="361" w:firstLineChars="200"/>
        <w:rPr>
          <w:rFonts w:asciiTheme="minorEastAsia" w:hAnsiTheme="minorEastAsia"/>
          <w:b/>
          <w:bCs/>
          <w:sz w:val="18"/>
          <w:szCs w:val="18"/>
        </w:rPr>
      </w:pPr>
      <w:bookmarkStart w:id="73" w:name="_Hlt88031774"/>
      <w:bookmarkEnd w:id="73"/>
      <w:bookmarkStart w:id="74"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1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1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1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1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8"/>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1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1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1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1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1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1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1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1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1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1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1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1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1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1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1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1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1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1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72"/>
    <w:bookmarkEnd w:id="74"/>
    <w:p>
      <w:pPr>
        <w:pStyle w:val="2"/>
        <w:spacing w:before="0" w:after="0" w:line="360" w:lineRule="auto"/>
        <w:jc w:val="center"/>
        <w:rPr>
          <w:rFonts w:ascii="Times New Roman"/>
          <w:sz w:val="30"/>
        </w:rPr>
      </w:pPr>
      <w:bookmarkStart w:id="75" w:name="_Toc4771"/>
      <w:bookmarkStart w:id="76" w:name="_Toc116649652"/>
      <w:bookmarkStart w:id="77" w:name="_Toc27226"/>
      <w:bookmarkStart w:id="78" w:name="_Toc29948"/>
      <w:bookmarkStart w:id="79" w:name="_Toc90742390"/>
      <w:bookmarkStart w:id="80" w:name="_Toc3266"/>
      <w:bookmarkStart w:id="81" w:name="_Toc27189"/>
      <w:bookmarkStart w:id="82" w:name="_Toc90742321"/>
      <w:bookmarkStart w:id="83" w:name="_Toc15203"/>
      <w:bookmarkStart w:id="84" w:name="_Toc29784"/>
      <w:bookmarkStart w:id="85" w:name="_Toc6714"/>
      <w:bookmarkStart w:id="86" w:name="_Toc16265"/>
      <w:bookmarkStart w:id="87" w:name="_Toc79154668"/>
      <w:bookmarkStart w:id="88" w:name="_Toc7151"/>
      <w:bookmarkStart w:id="89" w:name="_Toc90742688"/>
      <w:bookmarkStart w:id="90" w:name="_Toc22074"/>
      <w:bookmarkStart w:id="91" w:name="_Toc74065741"/>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75"/>
      <w:bookmarkEnd w:id="76"/>
    </w:p>
    <w:p>
      <w:pPr>
        <w:pStyle w:val="1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92"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pPr>
        <w:pStyle w:val="1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在严格控制组合风险的前提下，通过不断优化组合，力争实现超越业绩比较基准的收益。</w:t>
      </w:r>
    </w:p>
    <w:p>
      <w:pPr>
        <w:pStyle w:val="1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（2）剩余期限在397天以内（含397天）的债券、在银行间市场和证券交易所市场发行的资产支持证券；</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（3）符合监管要求的债权类资产；</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（4）国债期货、利率互换、债券借贷、信用风险缓释工具等；</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5）投资于上述资产的资产管理产品，包括资金信托，证券公司、证券公司子公司、基金管理公司、基金管理子公司、期货公司、期货公司子公司、保险资产管理机构、金融资产投资公司发行的资产管理产品等（投资于上述资产的资产管理产品的管理人可以聘请符合法律法规规定的投资顾问）；</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（6）其他风险不高于前述资产的资产。</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（1）本产品投资于债权类资产的比例不低于产品总资产的80%。</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（2）以套期保值、风险对冲为目的的国债期货、利率互换、信用风险缓释工具等衍生品占产品总资产比例低于10%。</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（3）符合监管要求的非标准化债权类资产低于产品净资产的50%。</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（4）投资于同业存单及存款类资产的比例不低于产品净资产的50%。</w:t>
      </w:r>
    </w:p>
    <w:p>
      <w:pPr>
        <w:autoSpaceDE w:val="0"/>
        <w:autoSpaceDN w:val="0"/>
        <w:adjustRightInd w:val="0"/>
        <w:spacing w:line="360" w:lineRule="auto"/>
        <w:ind w:firstLine="361" w:firstLineChars="200"/>
        <w:jc w:val="left"/>
        <w:rPr>
          <w:rFonts w:asciiTheme="majorEastAsia" w:hAnsiTheme="majorEastAsia" w:eastAsiaTheme="majorEastAsia"/>
          <w:bCs/>
          <w:kern w:val="0"/>
          <w:sz w:val="18"/>
          <w:szCs w:val="18"/>
        </w:rPr>
      </w:pPr>
      <w:r>
        <w:rPr>
          <w:rFonts w:asciiTheme="majorEastAsia" w:hAnsiTheme="majorEastAsia" w:eastAsiaTheme="majorEastAsia"/>
          <w:b/>
          <w:bCs/>
          <w:kern w:val="0"/>
          <w:sz w:val="18"/>
          <w:szCs w:val="18"/>
        </w:rPr>
        <w:t>注：本产品可能投资不存在活跃交易市场，并且需要采用估值技术确定公允价值的资产，且投资上述资产的比例达到理财产品净资产50%以上。</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r>
        <w:rPr>
          <w:rFonts w:ascii="黑体" w:hAnsi="黑体" w:eastAsia="黑体"/>
          <w:bCs/>
          <w:sz w:val="18"/>
          <w:szCs w:val="18"/>
        </w:rPr>
        <w:t>3】</w:t>
      </w:r>
      <w:r>
        <w:rPr>
          <w:rFonts w:hint="eastAsia" w:ascii="黑体" w:hAnsi="黑体" w:eastAsia="黑体"/>
          <w:bCs/>
          <w:sz w:val="18"/>
          <w:szCs w:val="18"/>
        </w:rPr>
        <w:t>个月内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1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1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（1）每只公募理财产品投资单只证券或者单只公募证券投资基金的市值不得超过该理财产品净资产的10%。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（3）全部理财产品持有单一上市公司发行的股票，不得超过该上市公司可流通股票的30%。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（4）全部开放式公募理财产品投资单一上市公司发行的股票不得超过该上市公司可流通股票的15%。</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（6）本产品投资于信用债券、银行存款、非标准化债权类资产融资人的信用评级均不得低于AA+。</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14"/>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【产品采取绝对收益策略，追求资产长期稳定增值。】</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93" w:name="_Toc18329"/>
      <w:bookmarkStart w:id="94" w:name="_Toc4741"/>
      <w:bookmarkStart w:id="95" w:name="_Toc14893"/>
      <w:bookmarkStart w:id="96" w:name="_Toc139991735"/>
      <w:bookmarkStart w:id="97" w:name="_Toc1823"/>
      <w:bookmarkStart w:id="98" w:name="_Toc21988"/>
      <w:bookmarkStart w:id="99" w:name="_Toc7848"/>
      <w:bookmarkStart w:id="100" w:name="_Toc26986"/>
      <w:bookmarkStart w:id="101" w:name="_Toc116649654"/>
      <w:bookmarkStart w:id="102" w:name="_Toc141703885"/>
      <w:bookmarkStart w:id="103" w:name="_Toc79154669"/>
      <w:bookmarkStart w:id="104" w:name="_Toc74065742"/>
      <w:bookmarkStart w:id="105" w:name="_Toc17912"/>
      <w:bookmarkStart w:id="106" w:name="_Toc18797"/>
      <w:bookmarkStart w:id="107" w:name="_Toc18526"/>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pPr>
        <w:pStyle w:val="14"/>
        <w:spacing w:line="360" w:lineRule="auto"/>
        <w:ind w:firstLine="361" w:firstLineChars="200"/>
        <w:rPr>
          <w:rFonts w:asciiTheme="majorEastAsia" w:hAnsiTheme="majorEastAsia" w:eastAsiaTheme="majorEastAsia"/>
          <w:b/>
          <w:color w:val="auto"/>
          <w:sz w:val="18"/>
          <w:szCs w:val="18"/>
        </w:rPr>
      </w:pPr>
      <w:bookmarkStart w:id="108" w:name="_Hlk490214295"/>
      <w:r>
        <w:rPr>
          <w:rFonts w:hint="eastAsia" w:asciiTheme="majorEastAsia" w:hAnsiTheme="majorEastAsia" w:eastAsiaTheme="majorEastAsia"/>
          <w:b/>
          <w:color w:val="auto"/>
          <w:sz w:val="18"/>
          <w:szCs w:val="18"/>
        </w:rPr>
        <w:t>（一）理财产品的资产的保管和处分</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1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108"/>
    <w:p>
      <w:pPr>
        <w:pStyle w:val="2"/>
        <w:spacing w:before="0" w:after="0" w:line="360" w:lineRule="auto"/>
        <w:jc w:val="center"/>
        <w:rPr>
          <w:rFonts w:ascii="Times New Roman"/>
          <w:sz w:val="30"/>
        </w:rPr>
      </w:pPr>
      <w:bookmarkStart w:id="109" w:name="_Toc79154670"/>
      <w:bookmarkStart w:id="110" w:name="_Toc48649707"/>
      <w:bookmarkStart w:id="111" w:name="_Toc7920"/>
      <w:bookmarkStart w:id="112" w:name="_Toc139991736"/>
      <w:bookmarkStart w:id="113" w:name="_Toc10463"/>
      <w:bookmarkStart w:id="114" w:name="_Toc610"/>
      <w:bookmarkStart w:id="115" w:name="_Toc1270"/>
      <w:bookmarkStart w:id="116" w:name="_Toc20733"/>
      <w:bookmarkStart w:id="117" w:name="_Toc123051452"/>
      <w:bookmarkStart w:id="118" w:name="_Toc123102453"/>
      <w:bookmarkStart w:id="119" w:name="_Toc123112234"/>
      <w:bookmarkStart w:id="120" w:name="_Toc116649655"/>
      <w:bookmarkStart w:id="121" w:name="_Toc74065743"/>
      <w:bookmarkStart w:id="122" w:name="_Toc17244"/>
      <w:bookmarkStart w:id="123" w:name="_Toc98560352"/>
      <w:bookmarkStart w:id="124" w:name="_Toc1427"/>
      <w:bookmarkStart w:id="125" w:name="_Toc79392606"/>
      <w:bookmarkStart w:id="126" w:name="_Toc141703886"/>
      <w:bookmarkStart w:id="127" w:name="_Toc4003"/>
      <w:bookmarkStart w:id="128" w:name="_Toc23822"/>
      <w:bookmarkStart w:id="129" w:name="_Toc23261"/>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pStyle w:val="1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14"/>
        <w:spacing w:line="360" w:lineRule="auto"/>
        <w:ind w:firstLine="361" w:firstLineChars="200"/>
        <w:rPr>
          <w:rFonts w:hAnsi="宋体"/>
          <w:b/>
          <w:bCs/>
          <w:sz w:val="18"/>
          <w:szCs w:val="18"/>
        </w:rPr>
      </w:pPr>
      <w:r>
        <w:rPr>
          <w:rFonts w:hint="eastAsia" w:hAnsi="宋体"/>
          <w:b/>
          <w:bCs/>
          <w:sz w:val="18"/>
          <w:szCs w:val="18"/>
        </w:rPr>
        <w:t>（一）估值目的</w:t>
      </w:r>
    </w:p>
    <w:p>
      <w:pPr>
        <w:pStyle w:val="1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14"/>
        <w:spacing w:line="360" w:lineRule="auto"/>
        <w:ind w:firstLine="361" w:firstLineChars="200"/>
        <w:rPr>
          <w:rFonts w:hAnsi="宋体"/>
          <w:b/>
          <w:bCs/>
          <w:sz w:val="18"/>
          <w:szCs w:val="18"/>
        </w:rPr>
      </w:pPr>
      <w:r>
        <w:rPr>
          <w:rFonts w:hint="eastAsia" w:hAnsi="宋体"/>
          <w:b/>
          <w:bCs/>
          <w:sz w:val="18"/>
          <w:szCs w:val="18"/>
        </w:rPr>
        <w:t>（二）估值频率</w:t>
      </w:r>
    </w:p>
    <w:p>
      <w:pPr>
        <w:pStyle w:val="14"/>
        <w:spacing w:line="360" w:lineRule="auto"/>
        <w:ind w:firstLine="450" w:firstLineChars="250"/>
        <w:rPr>
          <w:sz w:val="18"/>
          <w:szCs w:val="18"/>
        </w:rPr>
      </w:pPr>
      <w:r>
        <w:rPr>
          <w:rFonts w:hint="eastAsia" w:hAnsi="宋体"/>
          <w:sz w:val="18"/>
          <w:szCs w:val="18"/>
        </w:rPr>
        <w:t>本产品存续期间，每【周】进行一次估值。如遇产品到期日、季度末、半年度末、年度末等时间节点管理人将增加估值日。</w:t>
      </w:r>
    </w:p>
    <w:p>
      <w:pPr>
        <w:pStyle w:val="14"/>
        <w:spacing w:line="360" w:lineRule="auto"/>
        <w:ind w:firstLine="452" w:firstLineChars="250"/>
        <w:rPr>
          <w:rFonts w:hAnsi="宋体"/>
          <w:b/>
          <w:bCs/>
          <w:sz w:val="18"/>
          <w:szCs w:val="18"/>
        </w:rPr>
      </w:pPr>
      <w:r>
        <w:rPr>
          <w:rFonts w:hint="eastAsia" w:hAnsi="宋体"/>
          <w:b/>
          <w:bCs/>
          <w:sz w:val="18"/>
          <w:szCs w:val="18"/>
        </w:rPr>
        <w:t>（三）估值对象</w:t>
      </w:r>
    </w:p>
    <w:p>
      <w:pPr>
        <w:pStyle w:val="1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14"/>
        <w:spacing w:line="360" w:lineRule="auto"/>
        <w:ind w:firstLine="452" w:firstLineChars="250"/>
        <w:rPr>
          <w:rFonts w:hAnsi="宋体"/>
          <w:b/>
          <w:bCs/>
          <w:sz w:val="18"/>
          <w:szCs w:val="18"/>
        </w:rPr>
      </w:pPr>
      <w:r>
        <w:rPr>
          <w:rFonts w:hint="eastAsia" w:hAnsi="宋体"/>
          <w:b/>
          <w:bCs/>
          <w:sz w:val="18"/>
          <w:szCs w:val="18"/>
        </w:rPr>
        <w:t>（四）估值方法</w:t>
      </w:r>
    </w:p>
    <w:p>
      <w:pPr>
        <w:pStyle w:val="1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1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1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1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1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1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1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1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1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1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1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1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1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1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1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1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1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1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1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1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1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1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14"/>
        <w:spacing w:line="360" w:lineRule="auto"/>
        <w:ind w:firstLine="360" w:firstLineChars="200"/>
        <w:rPr>
          <w:rFonts w:hAnsi="宋体"/>
          <w:sz w:val="18"/>
          <w:szCs w:val="18"/>
        </w:rPr>
      </w:pPr>
      <w:r>
        <w:rPr>
          <w:rFonts w:hint="eastAsia" w:hAnsi="宋体"/>
          <w:sz w:val="18"/>
          <w:szCs w:val="18"/>
        </w:rPr>
        <w:t>（1）非上市基金估值</w:t>
      </w:r>
    </w:p>
    <w:p>
      <w:pPr>
        <w:pStyle w:val="1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1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14"/>
        <w:spacing w:line="360" w:lineRule="auto"/>
        <w:ind w:firstLine="360" w:firstLineChars="200"/>
        <w:rPr>
          <w:rFonts w:hAnsi="宋体"/>
          <w:sz w:val="18"/>
          <w:szCs w:val="18"/>
        </w:rPr>
      </w:pPr>
      <w:r>
        <w:rPr>
          <w:rFonts w:hint="eastAsia" w:hAnsi="宋体"/>
          <w:sz w:val="18"/>
          <w:szCs w:val="18"/>
        </w:rPr>
        <w:t>（2）上市基金估值</w:t>
      </w:r>
    </w:p>
    <w:p>
      <w:pPr>
        <w:pStyle w:val="1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1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1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1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1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1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1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1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1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1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14"/>
        <w:spacing w:line="360" w:lineRule="auto"/>
        <w:ind w:firstLine="361" w:firstLineChars="200"/>
        <w:rPr>
          <w:rFonts w:hAnsi="宋体"/>
          <w:b/>
          <w:bCs/>
          <w:sz w:val="18"/>
          <w:szCs w:val="18"/>
        </w:rPr>
      </w:pPr>
      <w:r>
        <w:rPr>
          <w:rFonts w:hint="eastAsia" w:hAnsi="宋体"/>
          <w:b/>
          <w:bCs/>
          <w:sz w:val="18"/>
          <w:szCs w:val="18"/>
        </w:rPr>
        <w:t>（五）估值程序</w:t>
      </w:r>
    </w:p>
    <w:p>
      <w:pPr>
        <w:pStyle w:val="1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1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1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14"/>
        <w:spacing w:line="360" w:lineRule="auto"/>
        <w:ind w:firstLine="361" w:firstLineChars="200"/>
        <w:rPr>
          <w:rFonts w:hAnsi="宋体"/>
          <w:b/>
          <w:bCs/>
          <w:sz w:val="18"/>
          <w:szCs w:val="18"/>
        </w:rPr>
      </w:pPr>
      <w:r>
        <w:rPr>
          <w:rFonts w:hint="eastAsia" w:hAnsi="宋体"/>
          <w:b/>
          <w:bCs/>
          <w:sz w:val="18"/>
          <w:szCs w:val="18"/>
        </w:rPr>
        <w:t>（六）估值主体</w:t>
      </w:r>
    </w:p>
    <w:p>
      <w:pPr>
        <w:pStyle w:val="1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130" w:name="_Hlt70481650"/>
      <w:bookmarkEnd w:id="130"/>
      <w:bookmarkStart w:id="131" w:name="_Toc31235"/>
      <w:bookmarkStart w:id="132" w:name="_Toc12245"/>
      <w:bookmarkStart w:id="133" w:name="_Toc116649656"/>
      <w:bookmarkStart w:id="134" w:name="_Toc123051453"/>
      <w:bookmarkStart w:id="135" w:name="_Toc6405"/>
      <w:bookmarkStart w:id="136" w:name="_Toc14835"/>
      <w:bookmarkStart w:id="137" w:name="_Toc29251"/>
      <w:bookmarkStart w:id="138" w:name="_Toc123112235"/>
      <w:bookmarkStart w:id="139" w:name="_Toc123102454"/>
      <w:bookmarkStart w:id="140" w:name="_Toc98560353"/>
      <w:bookmarkStart w:id="141" w:name="_Toc139991737"/>
      <w:bookmarkStart w:id="142" w:name="_Toc79154671"/>
      <w:bookmarkStart w:id="143" w:name="_Toc141703887"/>
      <w:bookmarkStart w:id="144" w:name="_Toc31644"/>
      <w:bookmarkStart w:id="145" w:name="_Toc26207"/>
      <w:bookmarkStart w:id="146" w:name="_Toc15143"/>
      <w:bookmarkStart w:id="147" w:name="_Toc74065744"/>
      <w:bookmarkStart w:id="148" w:name="_Toc31653"/>
      <w:bookmarkStart w:id="149" w:name="_Toc3601"/>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Start w:id="150" w:name="_Hlt55355235"/>
      <w:bookmarkEnd w:id="150"/>
      <w:bookmarkStart w:id="151" w:name="_Toc523711668"/>
      <w:bookmarkStart w:id="152" w:name="_Toc79392580"/>
      <w:bookmarkStart w:id="153" w:name="_Toc15118234"/>
      <w:bookmarkStart w:id="154" w:name="_Toc57530239"/>
    </w:p>
    <w:p>
      <w:pPr>
        <w:pStyle w:val="1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1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1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1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1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1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1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1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14"/>
        <w:spacing w:line="360" w:lineRule="auto"/>
        <w:ind w:firstLine="361" w:firstLineChars="200"/>
        <w:rPr>
          <w:rFonts w:hAnsi="宋体"/>
          <w:b/>
          <w:bCs/>
          <w:color w:val="auto"/>
          <w:sz w:val="18"/>
          <w:szCs w:val="18"/>
        </w:rPr>
      </w:pPr>
      <w:r>
        <w:rPr>
          <w:rFonts w:hint="eastAsia" w:hAnsi="宋体"/>
          <w:b/>
          <w:bCs/>
          <w:color w:val="auto"/>
          <w:sz w:val="18"/>
          <w:szCs w:val="18"/>
        </w:rPr>
        <w:t>1.分配方案要点：</w:t>
      </w:r>
    </w:p>
    <w:p>
      <w:pPr>
        <w:pStyle w:val="1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1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1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1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14"/>
        <w:spacing w:line="360" w:lineRule="auto"/>
        <w:ind w:firstLine="360" w:firstLineChars="200"/>
        <w:rPr>
          <w:rFonts w:hAnsi="宋体"/>
          <w:color w:val="auto"/>
          <w:sz w:val="18"/>
          <w:szCs w:val="18"/>
        </w:rPr>
      </w:pPr>
      <w:r>
        <w:rPr>
          <w:rFonts w:hint="eastAsia" w:hAnsi="宋体"/>
          <w:color w:val="auto"/>
          <w:sz w:val="18"/>
          <w:szCs w:val="18"/>
        </w:rPr>
        <w:t>1.理财利益的分配日</w:t>
      </w:r>
    </w:p>
    <w:p>
      <w:pPr>
        <w:pStyle w:val="1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1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1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
      <w:pPr>
        <w:widowControl/>
        <w:spacing w:line="360" w:lineRule="auto"/>
        <w:jc w:val="left"/>
        <w:rPr>
          <w:rFonts w:ascii="宋体" w:hAnsi="宋体"/>
          <w:kern w:val="0"/>
          <w:sz w:val="18"/>
          <w:szCs w:val="18"/>
        </w:rPr>
      </w:pPr>
      <w:r>
        <w:rPr>
          <w:rFonts w:hAnsi="宋体"/>
          <w:sz w:val="18"/>
          <w:szCs w:val="18"/>
        </w:rPr>
        <w:br w:type="page"/>
      </w:r>
    </w:p>
    <w:bookmarkEnd w:id="151"/>
    <w:bookmarkEnd w:id="152"/>
    <w:bookmarkEnd w:id="153"/>
    <w:bookmarkEnd w:id="154"/>
    <w:p>
      <w:pPr>
        <w:pStyle w:val="2"/>
        <w:spacing w:before="0" w:after="0" w:line="360" w:lineRule="auto"/>
        <w:jc w:val="center"/>
        <w:rPr>
          <w:rFonts w:ascii="Times New Roman"/>
          <w:sz w:val="30"/>
        </w:rPr>
      </w:pPr>
      <w:bookmarkStart w:id="155" w:name="_Hlt88897298"/>
      <w:bookmarkEnd w:id="155"/>
      <w:bookmarkStart w:id="156" w:name="_Hlt88825574"/>
      <w:bookmarkEnd w:id="156"/>
      <w:bookmarkStart w:id="157" w:name="_Toc79392583"/>
      <w:bookmarkStart w:id="158" w:name="_Toc116649657"/>
      <w:bookmarkStart w:id="159" w:name="_Toc123112236"/>
      <w:bookmarkStart w:id="160" w:name="_Toc18567"/>
      <w:bookmarkStart w:id="161" w:name="_Toc141703888"/>
      <w:bookmarkStart w:id="162" w:name="_Toc25783"/>
      <w:bookmarkStart w:id="163" w:name="_Toc6447"/>
      <w:bookmarkStart w:id="164" w:name="_Toc74065745"/>
      <w:bookmarkStart w:id="165" w:name="_Toc11030"/>
      <w:bookmarkStart w:id="166" w:name="_Toc4559"/>
      <w:bookmarkStart w:id="167" w:name="_Toc123102455"/>
      <w:bookmarkStart w:id="168" w:name="_Toc10650"/>
      <w:bookmarkStart w:id="169" w:name="_Toc98560354"/>
      <w:bookmarkStart w:id="170" w:name="_Toc3321"/>
      <w:bookmarkStart w:id="171" w:name="_Toc7058"/>
      <w:bookmarkStart w:id="172" w:name="_Toc139991738"/>
      <w:bookmarkStart w:id="173" w:name="_Toc123051454"/>
      <w:bookmarkStart w:id="174" w:name="_Toc9706"/>
      <w:bookmarkStart w:id="175" w:name="_Toc3771"/>
      <w:bookmarkStart w:id="176" w:name="_Toc79154672"/>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pPr>
        <w:pStyle w:val="1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）理财产品的证券交易费用；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1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1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1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1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77" w:name="_Toc3963"/>
      <w:bookmarkStart w:id="178" w:name="_Toc1745"/>
      <w:r>
        <w:br w:type="page"/>
      </w:r>
      <w:bookmarkStart w:id="179" w:name="_Toc116649658"/>
      <w:bookmarkStart w:id="180" w:name="_Toc139991739"/>
      <w:bookmarkStart w:id="181" w:name="_Toc123102456"/>
      <w:bookmarkStart w:id="182" w:name="_Toc3572"/>
      <w:bookmarkStart w:id="183" w:name="_Toc10398"/>
      <w:bookmarkStart w:id="184" w:name="_Toc98560355"/>
      <w:bookmarkStart w:id="185" w:name="_Toc123051455"/>
      <w:bookmarkStart w:id="186" w:name="_Toc16164"/>
      <w:bookmarkStart w:id="187" w:name="_Toc141703889"/>
      <w:bookmarkStart w:id="188" w:name="_Toc79154673"/>
      <w:bookmarkStart w:id="189" w:name="_Toc123112237"/>
      <w:bookmarkStart w:id="190" w:name="_Toc3080"/>
      <w:bookmarkStart w:id="191" w:name="_Toc31821"/>
      <w:bookmarkStart w:id="192" w:name="_Toc725"/>
      <w:bookmarkStart w:id="193" w:name="_Toc18206"/>
      <w:bookmarkStart w:id="194" w:name="_Toc21735"/>
      <w:bookmarkStart w:id="195" w:name="_Toc74065746"/>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pPr>
        <w:spacing w:line="360" w:lineRule="auto"/>
        <w:ind w:firstLine="361" w:firstLineChars="200"/>
        <w:rPr>
          <w:rFonts w:asciiTheme="majorEastAsia" w:hAnsiTheme="majorEastAsia" w:eastAsiaTheme="majorEastAsia"/>
          <w:b/>
          <w:bCs/>
          <w:sz w:val="18"/>
          <w:szCs w:val="18"/>
        </w:rPr>
      </w:pPr>
      <w:bookmarkStart w:id="196" w:name="_Toc79392593"/>
      <w:bookmarkStart w:id="197" w:name="_Toc57530252"/>
      <w:bookmarkStart w:id="198" w:name="_Toc15118245"/>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96"/>
    <w:bookmarkEnd w:id="197"/>
    <w:bookmarkEnd w:id="198"/>
    <w:p>
      <w:pPr>
        <w:pStyle w:val="2"/>
        <w:spacing w:before="0" w:after="0" w:line="360" w:lineRule="auto"/>
        <w:jc w:val="center"/>
        <w:rPr>
          <w:rFonts w:ascii="Times New Roman"/>
          <w:sz w:val="30"/>
        </w:rPr>
      </w:pPr>
      <w:r>
        <w:rPr>
          <w:rFonts w:ascii="Times New Roman"/>
          <w:b w:val="0"/>
          <w:bCs w:val="0"/>
          <w:kern w:val="2"/>
        </w:rPr>
        <w:br w:type="page"/>
      </w:r>
      <w:bookmarkStart w:id="199" w:name="_Toc32092"/>
      <w:bookmarkStart w:id="200" w:name="_Toc116649659"/>
      <w:bookmarkStart w:id="201" w:name="_Toc74065747"/>
      <w:bookmarkStart w:id="202" w:name="_Toc123112238"/>
      <w:bookmarkStart w:id="203" w:name="_Toc29408"/>
      <w:bookmarkStart w:id="204" w:name="_Toc3329"/>
      <w:bookmarkStart w:id="205" w:name="_Toc21237"/>
      <w:bookmarkStart w:id="206" w:name="_Toc79392622"/>
      <w:bookmarkStart w:id="207" w:name="_Toc8791"/>
      <w:bookmarkStart w:id="208" w:name="_Toc48649708"/>
      <w:bookmarkStart w:id="209" w:name="_Toc17198"/>
      <w:bookmarkStart w:id="210" w:name="_Toc141703890"/>
      <w:bookmarkStart w:id="211" w:name="_Toc98560356"/>
      <w:bookmarkStart w:id="212" w:name="_Toc739"/>
      <w:bookmarkStart w:id="213" w:name="_Toc5170"/>
      <w:bookmarkStart w:id="214" w:name="_Toc123051456"/>
      <w:bookmarkStart w:id="215" w:name="_Toc32584"/>
      <w:bookmarkStart w:id="216" w:name="_Toc79154674"/>
      <w:bookmarkStart w:id="217" w:name="_Toc17920"/>
      <w:bookmarkStart w:id="218" w:name="_Toc139991740"/>
      <w:bookmarkStart w:id="219" w:name="_Toc123102457"/>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w:t>
      </w:r>
      <w:r>
        <w:rPr>
          <w:rFonts w:hint="eastAsia" w:hAnsi="宋体"/>
          <w:sz w:val="18"/>
          <w:szCs w:val="18"/>
        </w:rPr>
        <w:t>周</w:t>
      </w:r>
      <w:r>
        <w:rPr>
          <w:rFonts w:hint="eastAsia" w:ascii="宋体" w:hAnsi="宋体"/>
          <w:bCs/>
          <w:sz w:val="18"/>
          <w:szCs w:val="18"/>
        </w:rPr>
        <w:t>】向投资者披露一次估值日公告，估值日公告披露的内容包括估值日的产品份额净值、产品份额累计净值等。如遇法定节假日顺延。此外，如遇其他特殊情况，以产品管理人信息披露为准。</w:t>
      </w:r>
    </w:p>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220" w:name="_Toc116649660"/>
      <w:bookmarkStart w:id="221" w:name="_Toc79154675"/>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220"/>
      <w:bookmarkEnd w:id="221"/>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固定收益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sz w:val="18"/>
          <w:szCs w:val="18"/>
        </w:rPr>
      </w:pPr>
      <w:r>
        <w:rPr>
          <w:rFonts w:hint="eastAsia" w:ascii="宋体" w:hAnsi="宋体"/>
          <w:sz w:val="18"/>
          <w:szCs w:val="18"/>
        </w:rPr>
        <w:t>2）投资非标准化债权类资产的风险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非标债权类资产时可能面临以下风险：由于融资主体/增信主体/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
      <w:pPr>
        <w:pStyle w:val="12"/>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分配</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早偿风险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pStyle w:val="14"/>
        <w:spacing w:line="360" w:lineRule="auto"/>
        <w:rPr>
          <w:rFonts w:hAnsi="宋体"/>
          <w:sz w:val="18"/>
          <w:szCs w:val="18"/>
        </w:rPr>
      </w:pPr>
    </w:p>
    <w:p>
      <w:pPr>
        <w:spacing w:line="360" w:lineRule="auto"/>
        <w:jc w:val="left"/>
        <w:rPr>
          <w:rFonts w:hint="eastAsia" w:ascii="宋体" w:hAnsi="宋体"/>
          <w:b/>
          <w:sz w:val="18"/>
          <w:szCs w:val="18"/>
        </w:rPr>
        <w:sectPr>
          <w:headerReference r:id="rId7" w:type="default"/>
          <w:footerReference r:id="rId8" w:type="default"/>
          <w:pgSz w:w="11906" w:h="16838"/>
          <w:pgMar w:top="1276" w:right="1800" w:bottom="1418" w:left="1800" w:header="567" w:footer="964" w:gutter="0"/>
          <w:pgNumType w:start="1"/>
          <w:cols w:space="425" w:num="1"/>
          <w:docGrid w:type="lines" w:linePitch="312" w:charSpace="0"/>
        </w:sectPr>
      </w:pPr>
    </w:p>
    <w:p>
      <w:pPr>
        <w:widowControl/>
        <w:spacing w:before="156"/>
        <w:jc w:val="center"/>
        <w:rPr>
          <w:rFonts w:ascii="黑体" w:hAnsi="黑体" w:eastAsia="黑体"/>
          <w:b/>
          <w:bCs/>
          <w:sz w:val="28"/>
          <w:szCs w:val="28"/>
        </w:rPr>
      </w:pPr>
      <w:r>
        <w:rPr>
          <w:rFonts w:hint="eastAsia" w:ascii="黑体" w:hAnsi="黑体" w:eastAsia="黑体"/>
          <w:b/>
          <w:bCs/>
          <w:sz w:val="28"/>
          <w:szCs w:val="28"/>
        </w:rPr>
        <w:t>兴银理财【稳利恒盈】封闭式理财产品</w:t>
      </w:r>
    </w:p>
    <w:p>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pPr>
        <w:autoSpaceDE w:val="0"/>
        <w:autoSpaceDN w:val="0"/>
        <w:adjustRightInd w:val="0"/>
        <w:snapToGrid w:val="0"/>
        <w:spacing w:before="156" w:beforeLines="50" w:line="320" w:lineRule="exact"/>
        <w:jc w:val="center"/>
        <w:rPr>
          <w:rFonts w:ascii="宋体" w:hAnsi="宋体"/>
          <w:b/>
          <w:sz w:val="32"/>
          <w:szCs w:val="32"/>
        </w:rPr>
      </w:pPr>
      <w:r>
        <w:rPr>
          <w:rFonts w:hint="eastAsia" w:ascii="宋体" w:hAnsi="宋体"/>
          <w:b/>
          <w:sz w:val="24"/>
        </w:rPr>
        <w:t>理财非存款、产品有风险、投资须谨慎</w:t>
      </w:r>
    </w:p>
    <w:p>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rFonts w:hint="eastAsia" w:ascii="宋体" w:hAnsi="宋体"/>
          <w:b/>
          <w:szCs w:val="21"/>
        </w:rPr>
        <w:t>协议编号：</w:t>
      </w:r>
    </w:p>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7"/>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pPr>
              <w:pStyle w:val="4"/>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7598" w:type="dxa"/>
            <w:gridSpan w:val="6"/>
            <w:shd w:val="pct10" w:color="A5A5A5" w:themeColor="background1" w:themeShade="A6" w:fill="A5A5A5" w:themeFill="background1" w:themeFillShade="A6"/>
            <w:vAlign w:val="center"/>
          </w:tcPr>
          <w:p>
            <w:pPr>
              <w:pStyle w:val="4"/>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投资者信息</w:t>
            </w:r>
          </w:p>
        </w:tc>
        <w:tc>
          <w:tcPr>
            <w:tcW w:w="635"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个人投资者适用</w:t>
            </w: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姓名</w:t>
            </w:r>
          </w:p>
        </w:tc>
        <w:tc>
          <w:tcPr>
            <w:tcW w:w="5061"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电子邮箱</w:t>
            </w:r>
          </w:p>
        </w:tc>
        <w:tc>
          <w:tcPr>
            <w:tcW w:w="2443" w:type="dxa"/>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tcBorders>
              <w:bottom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bottom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restart"/>
            <w:tcBorders>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280" w:lineRule="exact"/>
              <w:jc w:val="left"/>
              <w:rPr>
                <w:rFonts w:ascii="宋体" w:hAnsi="宋体"/>
                <w:b/>
                <w:bCs/>
                <w:sz w:val="18"/>
                <w:szCs w:val="18"/>
              </w:rPr>
            </w:pPr>
            <w:r>
              <w:rPr>
                <w:rFonts w:hint="eastAsia" w:ascii="宋体" w:hAnsi="宋体"/>
                <w:b/>
                <w:bCs/>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
        </w:tc>
        <w:tc>
          <w:tcPr>
            <w:tcW w:w="635" w:type="dxa"/>
            <w:vMerge w:val="continue"/>
            <w:tcBorders>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pStyle w:val="4"/>
              <w:pBdr>
                <w:bottom w:val="none" w:color="auto" w:sz="0" w:space="0"/>
              </w:pBdr>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hAnsi="宋体"/>
                <w:sz w:val="18"/>
                <w:szCs w:val="18"/>
              </w:rPr>
              <w:t>★</w:t>
            </w:r>
            <w:r>
              <w:rPr>
                <w:rFonts w:hint="eastAsia" w:ascii="宋体" w:hAnsi="宋体"/>
                <w:b/>
                <w:bCs/>
                <w:sz w:val="18"/>
                <w:szCs w:val="18"/>
              </w:rPr>
              <w:t>销售性质</w:t>
            </w:r>
          </w:p>
        </w:tc>
        <w:tc>
          <w:tcPr>
            <w:tcW w:w="5061" w:type="dxa"/>
            <w:gridSpan w:val="3"/>
            <w:shd w:val="solid" w:color="FFFFFF" w:fill="FFFFFF"/>
            <w:vAlign w:val="center"/>
          </w:tcPr>
          <w:p>
            <w:pPr>
              <w:spacing w:line="320" w:lineRule="exact"/>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 直销：产品管理人销售</w:t>
            </w:r>
          </w:p>
          <w:p>
            <w:pPr>
              <w:spacing w:line="320" w:lineRule="exact"/>
              <w:jc w:val="left"/>
              <w:rPr>
                <w:rFonts w:ascii="宋体" w:hAnsi="宋体"/>
                <w:bCs/>
                <w:sz w:val="18"/>
                <w:szCs w:val="18"/>
              </w:rPr>
            </w:pPr>
            <w:r>
              <w:rPr>
                <w:rFonts w:hint="eastAsia" w:asciiTheme="majorEastAsia" w:hAnsiTheme="majorEastAsia" w:eastAsiaTheme="majorEastAsia"/>
                <w:bCs/>
                <w:sz w:val="18"/>
                <w:szCs w:val="18"/>
              </w:rPr>
              <w:t>□ 代销：代理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销售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机构名称</w:t>
            </w:r>
          </w:p>
        </w:tc>
        <w:tc>
          <w:tcPr>
            <w:tcW w:w="5061" w:type="dxa"/>
            <w:gridSpan w:val="3"/>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w:t>
            </w:r>
            <w:r>
              <w:rPr>
                <w:rFonts w:hint="eastAsia" w:ascii="宋体" w:hAnsi="宋体"/>
                <w:sz w:val="18"/>
                <w:szCs w:val="18"/>
              </w:rPr>
              <w:t>福建省农村信用社联合社</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机构简介</w:t>
            </w:r>
          </w:p>
        </w:tc>
        <w:tc>
          <w:tcPr>
            <w:tcW w:w="5061" w:type="dxa"/>
            <w:gridSpan w:val="3"/>
            <w:shd w:val="solid" w:color="FFFFFF" w:fill="FFFFFF"/>
            <w:vAlign w:val="center"/>
          </w:tcPr>
          <w:p>
            <w:pPr>
              <w:pStyle w:val="14"/>
              <w:jc w:val="both"/>
              <w:rPr>
                <w:rFonts w:hAnsi="宋体"/>
                <w:bCs/>
                <w:sz w:val="18"/>
                <w:szCs w:val="18"/>
              </w:rPr>
            </w:pP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817" w:type="dxa"/>
            <w:shd w:val="solid" w:color="FFFFFF" w:fill="FFFFFF"/>
            <w:vAlign w:val="center"/>
          </w:tcPr>
          <w:p>
            <w:pPr>
              <w:pStyle w:val="4"/>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pPr>
              <w:pStyle w:val="4"/>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r>
              <w:rPr>
                <w:rFonts w:ascii="宋体" w:hAnsi="宋体"/>
                <w:u w:val="single"/>
              </w:rPr>
              <w:t xml:space="preserve">　                     </w:t>
            </w:r>
            <w:r>
              <w:rPr>
                <w:rFonts w:hint="eastAsia" w:ascii="宋体" w:hAnsi="宋体"/>
              </w:rPr>
              <w:t>。</w:t>
            </w:r>
          </w:p>
        </w:tc>
      </w:tr>
    </w:tbl>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pPr>
        <w:tabs>
          <w:tab w:val="left" w:pos="8070"/>
          <w:tab w:val="right" w:pos="8306"/>
        </w:tabs>
        <w:autoSpaceDE w:val="0"/>
        <w:autoSpaceDN w:val="0"/>
        <w:adjustRightInd w:val="0"/>
        <w:snapToGrid w:val="0"/>
        <w:spacing w:line="360" w:lineRule="auto"/>
        <w:ind w:firstLine="361" w:firstLineChars="200"/>
        <w:rPr>
          <w:rFonts w:ascii="宋体" w:hAnsi="宋体" w:cs="仿宋_GB2312"/>
          <w:b/>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w:t>
      </w:r>
      <w:r>
        <w:rPr>
          <w:rFonts w:ascii="宋体" w:hAnsi="宋体" w:cs="仿宋_GB2312"/>
          <w:kern w:val="0"/>
          <w:sz w:val="18"/>
          <w:szCs w:val="18"/>
        </w:rPr>
        <w:t>乙方销售性质</w:t>
      </w:r>
    </w:p>
    <w:p>
      <w:pPr>
        <w:widowControl/>
        <w:spacing w:line="360" w:lineRule="auto"/>
        <w:jc w:val="left"/>
        <w:rPr>
          <w:rFonts w:ascii="宋体" w:hAnsi="宋体" w:cs="仿宋_GB2312"/>
          <w:kern w:val="0"/>
          <w:sz w:val="18"/>
          <w:szCs w:val="18"/>
        </w:rPr>
      </w:pPr>
      <w:r>
        <w:rPr>
          <w:rFonts w:hint="eastAsia" w:asciiTheme="majorEastAsia" w:hAnsiTheme="majorEastAsia" w:eastAsiaTheme="majorEastAsia"/>
          <w:bCs/>
          <w:sz w:val="18"/>
          <w:szCs w:val="18"/>
        </w:rPr>
        <w:t xml:space="preserve">□ </w:t>
      </w:r>
      <w:r>
        <w:rPr>
          <w:rFonts w:hint="eastAsia" w:ascii="宋体" w:hAnsi="宋体" w:cs="仿宋_GB2312"/>
          <w:kern w:val="0"/>
          <w:sz w:val="18"/>
          <w:szCs w:val="18"/>
        </w:rPr>
        <w:t>直销适用</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Theme="majorEastAsia" w:hAnsiTheme="majorEastAsia" w:eastAsiaTheme="majorEastAsia"/>
          <w:bCs/>
          <w:sz w:val="18"/>
          <w:szCs w:val="18"/>
        </w:rPr>
        <w:t xml:space="preserve">□ </w:t>
      </w:r>
      <w:r>
        <w:rPr>
          <w:rFonts w:hint="eastAsia" w:ascii="宋体" w:hAnsi="宋体" w:cs="仿宋_GB2312"/>
          <w:kern w:val="0"/>
          <w:sz w:val="18"/>
          <w:szCs w:val="18"/>
        </w:rPr>
        <w:t>代销适用</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3、根据理财产品投资范围、风险收益特点、流动性等不同因素，乙方作为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w:t>
      </w:r>
      <w:r>
        <w:rPr>
          <w:rFonts w:hint="eastAsia" w:ascii="宋体" w:hAnsi="宋体" w:cs="仿宋_GB2312"/>
          <w:kern w:val="0"/>
          <w:sz w:val="18"/>
          <w:szCs w:val="18"/>
          <w:lang w:val="en-US" w:eastAsia="zh-CN"/>
        </w:rPr>
        <w:t>5</w:t>
      </w:r>
      <w:r>
        <w:rPr>
          <w:rFonts w:hint="eastAsia" w:ascii="宋体" w:hAnsi="宋体" w:cs="仿宋_GB2312"/>
          <w:kern w:val="0"/>
          <w:sz w:val="18"/>
          <w:szCs w:val="18"/>
        </w:rPr>
        <w:t>】个风险等级</w:t>
      </w:r>
      <w:r>
        <w:rPr>
          <w:rFonts w:ascii="宋体" w:hAnsi="宋体" w:cs="仿宋_GB2312"/>
          <w:kern w:val="0"/>
          <w:sz w:val="18"/>
          <w:szCs w:val="18"/>
        </w:rPr>
        <w:t>：</w:t>
      </w:r>
      <w:r>
        <w:rPr>
          <w:rFonts w:hint="eastAsia" w:ascii="宋体" w:hAnsi="宋体" w:cs="仿宋_GB2312"/>
          <w:kern w:val="0"/>
          <w:sz w:val="18"/>
          <w:szCs w:val="18"/>
        </w:rPr>
        <w:t>【</w:t>
      </w:r>
      <w:r>
        <w:rPr>
          <w:rFonts w:hint="eastAsia" w:ascii="宋体" w:hAnsi="宋体" w:cs="仿宋_GB2312"/>
          <w:kern w:val="0"/>
          <w:sz w:val="18"/>
          <w:szCs w:val="18"/>
          <w:lang w:val="en-US" w:eastAsia="zh-CN"/>
        </w:rPr>
        <w:t>R1（低风险）、R2（中低风险）、R3（中等风险）、R4（中高风险）、R5（高风险）</w:t>
      </w:r>
      <w:r>
        <w:rPr>
          <w:rFonts w:hint="eastAsia" w:ascii="宋体" w:hAnsi="宋体" w:cs="仿宋_GB2312"/>
          <w:kern w:val="0"/>
          <w:sz w:val="18"/>
          <w:szCs w:val="18"/>
        </w:rPr>
        <w:t>】；根据投资者在乙方评估的风险承受能力，</w:t>
      </w:r>
      <w:r>
        <w:rPr>
          <w:rFonts w:ascii="宋体" w:hAnsi="宋体" w:cs="仿宋_GB2312"/>
          <w:kern w:val="0"/>
          <w:sz w:val="18"/>
          <w:szCs w:val="18"/>
        </w:rPr>
        <w:t>乙方将投资者风险承受能力分为</w:t>
      </w:r>
      <w:r>
        <w:rPr>
          <w:rFonts w:hint="eastAsia" w:ascii="宋体" w:hAnsi="宋体" w:cs="仿宋_GB2312"/>
          <w:kern w:val="0"/>
          <w:sz w:val="18"/>
          <w:szCs w:val="18"/>
        </w:rPr>
        <w:t>若干等级。</w:t>
      </w:r>
    </w:p>
    <w:p>
      <w:pPr>
        <w:widowControl/>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pPr>
        <w:pStyle w:val="14"/>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甲方应根据风险承受能力选择与其风险承受能力相匹配的风险等级的理财产品，不得购买高于甲方风险承受能力的理财产品。</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4、投资者的风险承受能力评估要求</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（1）甲方为非机构投资者时，甲方购买乙方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（2）其他类型投资者的风险承受能力评估按销售机构的以下销售政策执行：</w:t>
      </w:r>
    </w:p>
    <w:p>
      <w:pPr>
        <w:widowControl/>
        <w:spacing w:line="360" w:lineRule="auto"/>
        <w:jc w:val="left"/>
        <w:rPr>
          <w:rFonts w:asciiTheme="majorEastAsia" w:hAnsiTheme="majorEastAsia" w:eastAsiaTheme="majorEastAsia"/>
          <w:sz w:val="18"/>
          <w:szCs w:val="18"/>
        </w:rPr>
      </w:pPr>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参照本条第（1）款非机构投资者要求执行；</w:t>
      </w:r>
    </w:p>
    <w:p>
      <w:pPr>
        <w:widowControl/>
        <w:spacing w:line="360" w:lineRule="auto"/>
        <w:jc w:val="left"/>
        <w:rPr>
          <w:rFonts w:asciiTheme="majorEastAsia" w:hAnsiTheme="majorEastAsia" w:eastAsiaTheme="majorEastAsia"/>
          <w:sz w:val="18"/>
          <w:szCs w:val="18"/>
        </w:rPr>
      </w:pPr>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其他：</w:t>
      </w:r>
      <w:r>
        <w:rPr>
          <w:rFonts w:hint="eastAsia" w:asciiTheme="majorEastAsia" w:hAnsiTheme="majorEastAsia" w:eastAsiaTheme="majorEastAsia"/>
          <w:sz w:val="18"/>
          <w:szCs w:val="18"/>
          <w:u w:val="single"/>
        </w:rPr>
        <w:t xml:space="preserve">                               。</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5、甲方保证投资资金来源合法且为本人有权</w:t>
      </w:r>
      <w:r>
        <w:rPr>
          <w:rFonts w:ascii="宋体" w:hAnsi="宋体" w:cs="仿宋_GB2312"/>
          <w:kern w:val="0"/>
          <w:sz w:val="18"/>
          <w:szCs w:val="18"/>
        </w:rPr>
        <w:t>处分的合法</w:t>
      </w:r>
      <w:r>
        <w:rPr>
          <w:rFonts w:hint="eastAsia" w:ascii="宋体" w:hAnsi="宋体" w:cs="仿宋_GB2312"/>
          <w:kern w:val="0"/>
          <w:sz w:val="18"/>
          <w:szCs w:val="18"/>
        </w:rPr>
        <w:t>资金，不存在使用贷款、发行债券等筹集的非自有资金投资的情况，投资行为符合法律法规及相关监管部门的规定。</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9、甲方在此同意并授权乙方有权根据甲方所勾选的业务申请类型对甲方相关资金账户进行资金划扣等相关操作。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10、对于甲方通过乙方的网上银行、手机银行、可视柜台等线上渠道购买的理财产品（不受限于本理财产品），甲方确认通过乙方线上渠道点击确认同意本协议，即表明甲方已自主阅读并清楚知悉本协议全部内容，同意受本协议约束。</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11、甲方在此确认乙方业务</w:t>
      </w:r>
      <w:r>
        <w:rPr>
          <w:rFonts w:ascii="宋体" w:hAnsi="宋体" w:cs="仿宋_GB2312"/>
          <w:kern w:val="0"/>
          <w:sz w:val="18"/>
          <w:szCs w:val="18"/>
        </w:rPr>
        <w:t>申请和办理</w:t>
      </w:r>
      <w:r>
        <w:rPr>
          <w:rFonts w:hint="eastAsia" w:ascii="宋体" w:hAnsi="宋体" w:cs="仿宋_GB2312"/>
          <w:kern w:val="0"/>
          <w:sz w:val="18"/>
          <w:szCs w:val="18"/>
        </w:rPr>
        <w:t>的系统记录以及录音、录像等</w:t>
      </w:r>
      <w:r>
        <w:rPr>
          <w:rFonts w:ascii="宋体" w:hAnsi="宋体" w:cs="仿宋_GB2312"/>
          <w:kern w:val="0"/>
          <w:sz w:val="18"/>
          <w:szCs w:val="18"/>
        </w:rPr>
        <w:t>信息</w:t>
      </w:r>
      <w:r>
        <w:rPr>
          <w:rFonts w:hint="eastAsia" w:ascii="宋体" w:hAnsi="宋体" w:cs="仿宋_GB2312"/>
          <w:kern w:val="0"/>
          <w:sz w:val="18"/>
          <w:szCs w:val="18"/>
        </w:rPr>
        <w:t>构成对甲方操作行为（包括但不限于认购</w:t>
      </w:r>
      <w:r>
        <w:rPr>
          <w:rFonts w:ascii="宋体" w:hAnsi="宋体" w:cs="仿宋_GB2312"/>
          <w:kern w:val="0"/>
          <w:sz w:val="18"/>
          <w:szCs w:val="18"/>
        </w:rPr>
        <w:t>、申购</w:t>
      </w:r>
      <w:r>
        <w:rPr>
          <w:rFonts w:hint="eastAsia" w:ascii="宋体" w:hAnsi="宋体" w:cs="仿宋_GB2312"/>
          <w:kern w:val="0"/>
          <w:sz w:val="18"/>
          <w:szCs w:val="18"/>
        </w:rPr>
        <w:t>、赎回）的终局证据，甲方同意乙方上述记录行为，并且在甲方和乙方或产品</w:t>
      </w:r>
      <w:r>
        <w:rPr>
          <w:rFonts w:ascii="宋体" w:hAnsi="宋体" w:cs="仿宋_GB2312"/>
          <w:kern w:val="0"/>
          <w:sz w:val="18"/>
          <w:szCs w:val="18"/>
        </w:rPr>
        <w:t>管理人</w:t>
      </w:r>
      <w:r>
        <w:rPr>
          <w:rFonts w:hint="eastAsia" w:ascii="宋体" w:hAnsi="宋体" w:cs="仿宋_GB2312"/>
          <w:kern w:val="0"/>
          <w:sz w:val="18"/>
          <w:szCs w:val="18"/>
        </w:rPr>
        <w:t>发生争议时可以作为合法有效的证据使用。</w:t>
      </w:r>
      <w:r>
        <w:rPr>
          <w:rFonts w:hint="eastAsia" w:ascii="黑体" w:hAnsi="黑体" w:eastAsia="黑体" w:cs="仿宋_GB2312"/>
          <w:kern w:val="0"/>
          <w:sz w:val="18"/>
          <w:szCs w:val="18"/>
        </w:rPr>
        <w:t>甲方同意并授权乙方采取有效措施和技术手段记录营销推介、产品风险和关键信息提示、投资者确认和反馈等重点销售环节。</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hint="eastAsia" w:ascii="宋体" w:hAnsi="宋体" w:cs="仿宋_GB2312"/>
          <w:kern w:val="0"/>
          <w:sz w:val="18"/>
          <w:szCs w:val="18"/>
        </w:rPr>
        <w:t>、甲方同意并授权乙方有权根据甲方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产品管理人、产品托管人、监管机构、自律组织、理财登记备案机构、金融交易对手方、理财快速赎回服务提供方提供、留存前述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甲方签署本理财产品销售文件即视为已经同意乙方在前述范围内向相关方提供投资者信息。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1、由于国家有关法律、法规、规章、政策的改变、紧急措施的出台而导致甲方蒙受损失或协议终止的，乙方不承担责任。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2、由于不可抗力或乙方无过错且无法防止的外因而导致的交易中断、延误等风险及损失，乙方不承担责任。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3、非因乙方原因（包括但不限于甲方遗失本协议、协议被盗用、交易账户被司法机关等有权部门冻结、扣划等原因）造成的损失，乙方不承担责任。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发生前述情形时，乙方将在条件允许的情况下采取必要合理的补救措施，尽力保护甲方利益，以减少甲方损失。</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1、本协议在履行过程中发生的争议，由甲乙双方协商解决，协商不成的，任何一方可向乙方</w:t>
      </w:r>
      <w:r>
        <w:rPr>
          <w:rFonts w:ascii="宋体" w:hAnsi="宋体" w:cs="仿宋_GB2312"/>
          <w:kern w:val="0"/>
          <w:sz w:val="18"/>
          <w:szCs w:val="18"/>
        </w:rPr>
        <w:t>住所地</w:t>
      </w:r>
      <w:r>
        <w:rPr>
          <w:rFonts w:hint="eastAsia" w:ascii="宋体" w:hAnsi="宋体" w:cs="仿宋_GB2312"/>
          <w:kern w:val="0"/>
          <w:sz w:val="18"/>
          <w:szCs w:val="18"/>
        </w:rPr>
        <w:t>人民法院起诉。</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1、协议生效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3、其他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pPr>
        <w:widowControl/>
        <w:spacing w:line="360" w:lineRule="auto"/>
        <w:jc w:val="left"/>
        <w:rPr>
          <w:rFonts w:ascii="宋体" w:hAnsi="宋体" w:cs="仿宋_GB2312"/>
          <w:kern w:val="0"/>
          <w:sz w:val="18"/>
          <w:szCs w:val="18"/>
        </w:rPr>
      </w:pP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甲方声明：</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1)甲方已经收到所购买</w:t>
      </w:r>
      <w:r>
        <w:rPr>
          <w:rFonts w:hint="eastAsia" w:ascii="宋体" w:hAnsi="宋体" w:cs="仿宋_GB2312"/>
          <w:b/>
          <w:kern w:val="0"/>
          <w:sz w:val="18"/>
          <w:szCs w:val="18"/>
        </w:rPr>
        <w:t>乙方销售的理财产品的《投资</w:t>
      </w:r>
      <w:r>
        <w:rPr>
          <w:rFonts w:ascii="宋体" w:hAnsi="宋体" w:cs="仿宋_GB2312"/>
          <w:b/>
          <w:kern w:val="0"/>
          <w:sz w:val="18"/>
          <w:szCs w:val="18"/>
        </w:rPr>
        <w:t>协议书</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产品说明书</w:t>
      </w:r>
      <w:r>
        <w:rPr>
          <w:rFonts w:ascii="宋体" w:hAnsi="宋体" w:cs="仿宋_GB2312"/>
          <w:b/>
          <w:kern w:val="0"/>
          <w:sz w:val="18"/>
          <w:szCs w:val="18"/>
        </w:rPr>
        <w:t>》</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（代理）销售协议书</w:t>
      </w:r>
      <w:r>
        <w:rPr>
          <w:rFonts w:ascii="宋体" w:hAnsi="宋体" w:cs="仿宋_GB2312"/>
          <w:b/>
          <w:kern w:val="0"/>
          <w:sz w:val="18"/>
          <w:szCs w:val="18"/>
        </w:rPr>
        <w:t>》</w:t>
      </w:r>
      <w:r>
        <w:rPr>
          <w:rFonts w:hint="eastAsia" w:ascii="宋体" w:hAnsi="宋体" w:cs="仿宋_GB2312"/>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hint="eastAsia" w:ascii="宋体" w:hAnsi="宋体" w:cs="仿宋_GB2312"/>
          <w:b/>
          <w:kern w:val="0"/>
          <w:sz w:val="18"/>
          <w:szCs w:val="18"/>
        </w:rPr>
        <w:t>、赎回理财产品所产生的相关风险和不利后果。</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pPr>
        <w:widowControl/>
        <w:spacing w:line="360" w:lineRule="auto"/>
        <w:ind w:firstLine="361" w:firstLineChars="200"/>
        <w:jc w:val="left"/>
        <w:rPr>
          <w:rFonts w:ascii="宋体" w:hAnsi="宋体" w:cs="仿宋_GB2312"/>
          <w:b/>
          <w:kern w:val="0"/>
          <w:sz w:val="18"/>
          <w:szCs w:val="18"/>
        </w:rPr>
      </w:pPr>
    </w:p>
    <w:p>
      <w:pPr>
        <w:widowControl/>
        <w:jc w:val="left"/>
        <w:rPr>
          <w:rFonts w:ascii="宋体" w:hAnsi="宋体" w:cs="仿宋_GB2312"/>
          <w:b/>
          <w:kern w:val="0"/>
          <w:sz w:val="18"/>
          <w:szCs w:val="18"/>
        </w:rPr>
      </w:pPr>
      <w:r>
        <w:rPr>
          <w:rFonts w:ascii="宋体" w:hAnsi="宋体" w:cs="仿宋_GB2312"/>
          <w:b/>
          <w:kern w:val="0"/>
          <w:sz w:val="18"/>
          <w:szCs w:val="18"/>
        </w:rPr>
        <w:br w:type="page"/>
      </w:r>
    </w:p>
    <w:p>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8"/>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3"/>
            <w:vAlign w:val="center"/>
          </w:tcPr>
          <w:p>
            <w:pPr>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280" w:lineRule="exact"/>
              <w:jc w:val="center"/>
              <w:rPr>
                <w:rFonts w:ascii="黑体" w:hAnsi="黑体" w:eastAsia="黑体"/>
                <w:kern w:val="0"/>
                <w:sz w:val="18"/>
                <w:szCs w:val="18"/>
              </w:rPr>
            </w:pPr>
            <w:r>
              <w:rPr>
                <w:rFonts w:hint="eastAsia" w:ascii="黑体" w:hAnsi="黑体" w:eastAsia="黑体"/>
                <w:kern w:val="0"/>
                <w:sz w:val="18"/>
                <w:szCs w:val="18"/>
              </w:rPr>
              <w:t>★</w:t>
            </w:r>
          </w:p>
          <w:p>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pPr>
              <w:tabs>
                <w:tab w:val="left" w:pos="8070"/>
                <w:tab w:val="right" w:pos="8306"/>
              </w:tabs>
              <w:autoSpaceDE w:val="0"/>
              <w:autoSpaceDN w:val="0"/>
              <w:adjustRightInd w:val="0"/>
              <w:snapToGrid w:val="0"/>
              <w:spacing w:line="280" w:lineRule="exact"/>
              <w:rPr>
                <w:rFonts w:ascii="黑体" w:hAnsi="黑体" w:eastAsia="黑体"/>
                <w:kern w:val="0"/>
                <w:sz w:val="18"/>
                <w:szCs w:val="18"/>
              </w:rPr>
            </w:pPr>
            <w:r>
              <w:rPr>
                <w:rFonts w:ascii="黑体" w:hAnsi="黑体" w:eastAsia="黑体"/>
                <w:kern w:val="0"/>
                <w:sz w:val="18"/>
                <w:szCs w:val="18"/>
              </w:rPr>
              <w:t>1、在签署本《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pPr>
              <w:tabs>
                <w:tab w:val="left" w:pos="0"/>
                <w:tab w:val="left" w:pos="3600"/>
              </w:tabs>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5" w:hRule="exact"/>
        </w:trPr>
        <w:tc>
          <w:tcPr>
            <w:tcW w:w="675" w:type="dxa"/>
            <w:vMerge w:val="restart"/>
            <w:vAlign w:val="center"/>
          </w:tcPr>
          <w:p>
            <w:pPr>
              <w:jc w:val="center"/>
              <w:rPr>
                <w:b/>
                <w:kern w:val="0"/>
                <w:sz w:val="18"/>
                <w:szCs w:val="18"/>
              </w:rPr>
            </w:pPr>
            <w:r>
              <w:rPr>
                <w:rFonts w:hint="eastAsia"/>
                <w:b/>
                <w:kern w:val="0"/>
                <w:sz w:val="18"/>
                <w:szCs w:val="18"/>
              </w:rPr>
              <w:t>甲方签署栏</w:t>
            </w:r>
          </w:p>
        </w:tc>
        <w:tc>
          <w:tcPr>
            <w:tcW w:w="851" w:type="dxa"/>
          </w:tcPr>
          <w:p>
            <w:pPr>
              <w:rPr>
                <w:b/>
                <w:kern w:val="0"/>
                <w:sz w:val="18"/>
                <w:szCs w:val="18"/>
              </w:rPr>
            </w:pPr>
            <w:r>
              <w:rPr>
                <w:rFonts w:hint="eastAsia"/>
                <w:b/>
                <w:kern w:val="0"/>
                <w:sz w:val="18"/>
                <w:szCs w:val="18"/>
              </w:rPr>
              <w:t>个人投资者适用</w:t>
            </w:r>
          </w:p>
        </w:tc>
        <w:tc>
          <w:tcPr>
            <w:tcW w:w="6998" w:type="dxa"/>
          </w:tcPr>
          <w:p>
            <w:pPr>
              <w:rPr>
                <w:kern w:val="0"/>
                <w:sz w:val="18"/>
                <w:szCs w:val="18"/>
              </w:rPr>
            </w:pPr>
            <w:r>
              <w:rPr>
                <w:rFonts w:hint="eastAsia"/>
                <w:kern w:val="0"/>
                <w:sz w:val="18"/>
                <w:szCs w:val="18"/>
              </w:rPr>
              <w:t>甲方（签字）：</w:t>
            </w:r>
          </w:p>
          <w:p>
            <w:pPr>
              <w:rPr>
                <w:b/>
                <w:kern w:val="0"/>
                <w:sz w:val="18"/>
                <w:szCs w:val="18"/>
              </w:rPr>
            </w:pPr>
          </w:p>
          <w:p>
            <w:pPr>
              <w:rPr>
                <w:b/>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56" w:hRule="atLeast"/>
        </w:trPr>
        <w:tc>
          <w:tcPr>
            <w:tcW w:w="675" w:type="dxa"/>
            <w:vMerge w:val="continue"/>
          </w:tcPr>
          <w:p>
            <w:pPr>
              <w:rPr>
                <w:b/>
                <w:kern w:val="0"/>
                <w:sz w:val="18"/>
                <w:szCs w:val="18"/>
              </w:rPr>
            </w:pPr>
          </w:p>
        </w:tc>
        <w:tc>
          <w:tcPr>
            <w:tcW w:w="851" w:type="dxa"/>
          </w:tcPr>
          <w:p>
            <w:pPr>
              <w:rPr>
                <w:b/>
                <w:kern w:val="0"/>
                <w:sz w:val="18"/>
                <w:szCs w:val="18"/>
              </w:rPr>
            </w:pPr>
            <w:r>
              <w:rPr>
                <w:rFonts w:hint="eastAsia"/>
                <w:b/>
                <w:kern w:val="0"/>
                <w:sz w:val="18"/>
                <w:szCs w:val="18"/>
              </w:rPr>
              <w:t>机构投资者适用</w:t>
            </w:r>
          </w:p>
        </w:tc>
        <w:tc>
          <w:tcPr>
            <w:tcW w:w="6998" w:type="dxa"/>
          </w:tcPr>
          <w:p>
            <w:pPr>
              <w:rPr>
                <w:rFonts w:cs="Arial"/>
                <w:kern w:val="0"/>
                <w:sz w:val="18"/>
                <w:szCs w:val="18"/>
              </w:rPr>
            </w:pPr>
            <w:r>
              <w:rPr>
                <w:rFonts w:hint="eastAsia"/>
                <w:kern w:val="0"/>
                <w:sz w:val="18"/>
                <w:szCs w:val="18"/>
              </w:rPr>
              <w:t>甲方</w:t>
            </w:r>
            <w:r>
              <w:rPr>
                <w:rFonts w:hint="eastAsia" w:cs="Arial"/>
                <w:kern w:val="0"/>
                <w:sz w:val="18"/>
                <w:szCs w:val="18"/>
              </w:rPr>
              <w:t>（盖章）：</w:t>
            </w:r>
          </w:p>
          <w:p>
            <w:pPr>
              <w:rPr>
                <w:rFonts w:cs="Arial"/>
                <w:kern w:val="0"/>
                <w:sz w:val="18"/>
                <w:szCs w:val="18"/>
              </w:rPr>
            </w:pPr>
          </w:p>
          <w:p>
            <w:pPr>
              <w:rPr>
                <w:rFonts w:cs="Arial"/>
                <w:kern w:val="0"/>
                <w:sz w:val="18"/>
                <w:szCs w:val="18"/>
              </w:rPr>
            </w:pPr>
            <w:r>
              <w:rPr>
                <w:rFonts w:hint="eastAsia" w:cs="Arial"/>
                <w:kern w:val="0"/>
                <w:sz w:val="18"/>
                <w:szCs w:val="18"/>
              </w:rPr>
              <w:t>甲方法定代表人或授权代理人（签字或盖章）：</w:t>
            </w:r>
          </w:p>
          <w:p>
            <w:pPr>
              <w:rPr>
                <w:b/>
                <w:kern w:val="0"/>
                <w:sz w:val="18"/>
                <w:szCs w:val="18"/>
              </w:rPr>
            </w:pPr>
          </w:p>
          <w:p>
            <w:pPr>
              <w:rPr>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3" w:hRule="atLeast"/>
        </w:trPr>
        <w:tc>
          <w:tcPr>
            <w:tcW w:w="675" w:type="dxa"/>
          </w:tcPr>
          <w:p>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pPr>
              <w:rPr>
                <w:b/>
                <w:kern w:val="0"/>
                <w:sz w:val="18"/>
                <w:szCs w:val="18"/>
              </w:rPr>
            </w:pPr>
          </w:p>
          <w:p>
            <w:pPr>
              <w:rPr>
                <w:kern w:val="0"/>
                <w:sz w:val="18"/>
                <w:szCs w:val="18"/>
              </w:rPr>
            </w:pPr>
            <w:r>
              <w:rPr>
                <w:rFonts w:hint="eastAsia"/>
                <w:kern w:val="0"/>
                <w:sz w:val="18"/>
                <w:szCs w:val="18"/>
              </w:rPr>
              <w:t>日期：</w:t>
            </w:r>
          </w:p>
        </w:tc>
      </w:tr>
    </w:tbl>
    <w:p>
      <w:pPr>
        <w:spacing w:line="360" w:lineRule="auto"/>
        <w:jc w:val="left"/>
        <w:rPr>
          <w:rFonts w:hint="eastAsia" w:ascii="宋体" w:hAnsi="宋体"/>
          <w:b/>
          <w:sz w:val="18"/>
          <w:szCs w:val="18"/>
        </w:rPr>
        <w:sectPr>
          <w:headerReference r:id="rId9" w:type="default"/>
          <w:footerReference r:id="rId10" w:type="default"/>
          <w:pgSz w:w="11906" w:h="16838"/>
          <w:pgMar w:top="1440" w:right="1800" w:bottom="1440" w:left="1800" w:header="567" w:footer="964" w:gutter="0"/>
          <w:cols w:space="425" w:num="1"/>
          <w:docGrid w:type="lines" w:linePitch="312" w:charSpace="0"/>
        </w:sectPr>
      </w:pPr>
      <w:r>
        <w:rPr>
          <w:rFonts w:hint="eastAsia" w:ascii="宋体" w:hAnsi="宋体"/>
          <w:b/>
          <w:sz w:val="18"/>
          <w:szCs w:val="18"/>
        </w:rPr>
        <w:t>（本《（代理）销售协议书》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兴银理财稳利安盈封闭式</w:t>
      </w:r>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w:t>
      </w:r>
      <w:r>
        <w:rPr>
          <w:rFonts w:ascii="宋体" w:hAnsi="宋体" w:cs="仿宋_GB2312"/>
          <w:kern w:val="0"/>
          <w:sz w:val="18"/>
          <w:szCs w:val="18"/>
        </w:rPr>
        <w:t>销售名称及产品登记编码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r>
        <w:rPr>
          <w:rFonts w:hint="eastAsia" w:ascii="宋体" w:hAnsi="宋体" w:cs="仿宋_GB2312"/>
          <w:kern w:val="0"/>
          <w:sz w:val="18"/>
          <w:szCs w:val="18"/>
        </w:rPr>
        <w:t>【</w:t>
      </w:r>
      <w:r>
        <w:rPr>
          <w:rFonts w:hint="eastAsia" w:ascii="宋体" w:hAnsi="宋体"/>
          <w:bCs/>
          <w:sz w:val="18"/>
          <w:szCs w:val="18"/>
        </w:rPr>
        <w:t>兴银理财稳利安盈封闭式2023年55期固收类理财产品</w:t>
      </w:r>
      <w:r>
        <w:rPr>
          <w:rFonts w:hint="eastAsia" w:ascii="宋体" w:hAnsi="宋体" w:cs="仿宋_GB2312"/>
          <w:kern w:val="0"/>
          <w:sz w:val="18"/>
          <w:szCs w:val="18"/>
        </w:rPr>
        <w:t>】</w:t>
      </w:r>
    </w:p>
    <w:p>
      <w:pPr>
        <w:ind w:firstLine="448" w:firstLineChars="249"/>
        <w:rPr>
          <w:rFonts w:asciiTheme="majorEastAsia" w:hAnsiTheme="majorEastAsia" w:eastAsiaTheme="majorEastAsia"/>
          <w:bCs/>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
    <w:p>
      <w:pPr>
        <w:ind w:firstLine="448" w:firstLineChars="249"/>
        <w:rPr>
          <w:rFonts w:hint="eastAsia"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【稳利安盈封闭式2023年55期（安享款）A】（适用【A】类份额）</w:t>
      </w:r>
    </w:p>
    <w:p>
      <w:pPr>
        <w:ind w:firstLine="448" w:firstLineChars="249"/>
        <w:rPr>
          <w:rFonts w:hint="eastAsia"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【稳利安盈封闭式2023年55期B】（适用【B】类份额）</w:t>
      </w:r>
    </w:p>
    <w:p>
      <w:pPr>
        <w:ind w:firstLine="448" w:firstLineChars="249"/>
        <w:rPr>
          <w:rFonts w:ascii="宋体" w:hAnsi="宋体" w:cs="仿宋_GB2312"/>
          <w:kern w:val="0"/>
          <w:sz w:val="18"/>
          <w:szCs w:val="18"/>
        </w:rPr>
      </w:pPr>
      <w:r>
        <w:rPr>
          <w:rFonts w:hint="eastAsia" w:asciiTheme="majorEastAsia" w:hAnsiTheme="majorEastAsia" w:eastAsiaTheme="majorEastAsia"/>
          <w:bCs/>
          <w:kern w:val="0"/>
          <w:sz w:val="18"/>
          <w:szCs w:val="18"/>
        </w:rPr>
        <w:t>【稳利安盈封闭式2023年55期C】（适用【C】类份额）</w:t>
      </w:r>
    </w:p>
    <w:p>
      <w:pPr>
        <w:ind w:firstLine="448" w:firstLineChars="249"/>
        <w:rPr>
          <w:rFonts w:ascii="宋体" w:hAnsi="宋体" w:cs="仿宋_GB2312"/>
          <w:kern w:val="0"/>
          <w:sz w:val="18"/>
          <w:szCs w:val="18"/>
        </w:rPr>
      </w:pPr>
      <w:r>
        <w:rPr>
          <w:rFonts w:ascii="宋体" w:hAnsi="宋体" w:cs="仿宋_GB2312"/>
          <w:kern w:val="0"/>
          <w:sz w:val="18"/>
          <w:szCs w:val="18"/>
        </w:rPr>
        <w:t>产品登记编码</w:t>
      </w:r>
      <w:r>
        <w:rPr>
          <w:rFonts w:hint="eastAsia" w:ascii="宋体" w:hAnsi="宋体" w:cs="仿宋_GB2312"/>
          <w:kern w:val="0"/>
          <w:sz w:val="18"/>
          <w:szCs w:val="18"/>
        </w:rPr>
        <w:t>：【</w:t>
      </w:r>
      <w:r>
        <w:rPr>
          <w:rFonts w:ascii="宋体" w:hAnsi="宋体"/>
          <w:bCs/>
          <w:sz w:val="18"/>
          <w:szCs w:val="18"/>
        </w:rPr>
        <w:t>Z7002023001138</w:t>
      </w:r>
      <w:r>
        <w:rPr>
          <w:rFonts w:hint="eastAsia" w:ascii="宋体" w:hAnsi="宋体" w:cs="仿宋_GB2312"/>
          <w:kern w:val="0"/>
          <w:sz w:val="18"/>
          <w:szCs w:val="18"/>
        </w:rPr>
        <w:t>】</w:t>
      </w:r>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538" w:firstLineChars="299"/>
        <w:rPr>
          <w:rFonts w:ascii="宋体" w:hAnsi="宋体" w:cs="仿宋_GB2312"/>
          <w:kern w:val="0"/>
          <w:sz w:val="18"/>
          <w:szCs w:val="18"/>
        </w:rPr>
      </w:pPr>
      <w:r>
        <w:rPr>
          <w:rFonts w:hint="eastAsia" w:ascii="宋体" w:hAnsi="宋体" w:cs="仿宋_GB2312"/>
          <w:kern w:val="0"/>
          <w:sz w:val="18"/>
          <w:szCs w:val="18"/>
        </w:rPr>
        <w:t>【公募、封闭式、固定收益类、非保本浮动</w:t>
      </w:r>
      <w:r>
        <w:rPr>
          <w:rFonts w:ascii="宋体" w:hAnsi="宋体" w:cs="仿宋_GB2312"/>
          <w:kern w:val="0"/>
          <w:sz w:val="18"/>
          <w:szCs w:val="18"/>
        </w:rPr>
        <w:t>收益</w:t>
      </w:r>
      <w:r>
        <w:rPr>
          <w:rFonts w:hint="eastAsia" w:ascii="宋体" w:hAnsi="宋体" w:cs="仿宋_GB2312"/>
          <w:kern w:val="0"/>
          <w:sz w:val="18"/>
          <w:szCs w:val="18"/>
        </w:rPr>
        <w:t>、净值型】理财产品。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■有固定期限：【1</w:t>
      </w:r>
      <w:r>
        <w:rPr>
          <w:rFonts w:asciiTheme="majorEastAsia" w:hAnsiTheme="majorEastAsia" w:eastAsiaTheme="majorEastAsia"/>
          <w:bCs/>
          <w:sz w:val="18"/>
          <w:szCs w:val="18"/>
        </w:rPr>
        <w:t>46</w:t>
      </w:r>
      <w:r>
        <w:rPr>
          <w:rFonts w:hint="eastAsia" w:asciiTheme="majorEastAsia" w:hAnsiTheme="majorEastAsia" w:eastAsiaTheme="majorEastAsia"/>
          <w:bCs/>
          <w:sz w:val="18"/>
          <w:szCs w:val="18"/>
        </w:rPr>
        <w:t>天】</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本理财产品风险评级最终定义为【R</w:t>
      </w:r>
      <w:r>
        <w:rPr>
          <w:rFonts w:ascii="宋体" w:hAnsi="宋体" w:cs="仿宋_GB2312"/>
          <w:kern w:val="0"/>
          <w:sz w:val="18"/>
          <w:szCs w:val="18"/>
        </w:rPr>
        <w:t>1】</w:t>
      </w:r>
      <w:r>
        <w:rPr>
          <w:rFonts w:hint="eastAsia" w:ascii="宋体" w:hAnsi="宋体" w:cs="仿宋_GB2312"/>
          <w:kern w:val="0"/>
          <w:sz w:val="18"/>
          <w:szCs w:val="18"/>
        </w:rPr>
        <w:t>（产品管理人定义的产品风险评级为【R</w:t>
      </w:r>
      <w:r>
        <w:rPr>
          <w:rFonts w:ascii="宋体" w:hAnsi="宋体" w:cs="仿宋_GB2312"/>
          <w:kern w:val="0"/>
          <w:sz w:val="18"/>
          <w:szCs w:val="18"/>
        </w:rPr>
        <w:t>1】</w:t>
      </w:r>
      <w:r>
        <w:rPr>
          <w:rFonts w:hint="eastAsia" w:ascii="宋体" w:hAnsi="宋体" w:cs="仿宋_GB2312"/>
          <w:kern w:val="0"/>
          <w:sz w:val="18"/>
          <w:szCs w:val="18"/>
        </w:rPr>
        <w:t>；代理销售机构定义的产品风险评级为【R</w:t>
      </w:r>
      <w:r>
        <w:rPr>
          <w:rFonts w:ascii="宋体" w:hAnsi="宋体" w:cs="仿宋_GB2312"/>
          <w:kern w:val="0"/>
          <w:sz w:val="18"/>
          <w:szCs w:val="18"/>
        </w:rPr>
        <w:t>1</w:t>
      </w:r>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客户【□</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12"/>
        <w:ind w:firstLine="360"/>
        <w:rPr>
          <w:rFonts w:ascii="宋体" w:hAnsi="宋体"/>
          <w:bCs/>
          <w:sz w:val="18"/>
          <w:szCs w:val="18"/>
        </w:rPr>
      </w:pPr>
      <w:r>
        <w:rPr>
          <w:rFonts w:hint="eastAsia" w:ascii="宋体" w:hAnsi="宋体"/>
          <w:bCs/>
          <w:sz w:val="18"/>
          <w:szCs w:val="18"/>
        </w:rPr>
        <w:t>1、拟投资市场和资产的风险：</w:t>
      </w:r>
    </w:p>
    <w:p>
      <w:pPr>
        <w:pStyle w:val="12"/>
        <w:ind w:firstLine="360"/>
        <w:rPr>
          <w:rFonts w:ascii="宋体" w:hAnsi="宋体"/>
          <w:bCs/>
          <w:sz w:val="18"/>
          <w:szCs w:val="18"/>
        </w:rPr>
      </w:pPr>
      <w:r>
        <w:rPr>
          <w:rFonts w:hint="eastAsia" w:ascii="宋体" w:hAnsi="宋体"/>
          <w:bCs/>
          <w:sz w:val="18"/>
          <w:szCs w:val="18"/>
        </w:rPr>
        <w:t>（1）投资债权类资产的风险</w:t>
      </w:r>
    </w:p>
    <w:p>
      <w:pPr>
        <w:pStyle w:val="12"/>
        <w:ind w:firstLine="360"/>
        <w:rPr>
          <w:rFonts w:ascii="宋体" w:hAnsi="宋体"/>
          <w:bCs/>
          <w:sz w:val="18"/>
          <w:szCs w:val="18"/>
        </w:rPr>
      </w:pPr>
      <w:r>
        <w:rPr>
          <w:rFonts w:hint="eastAsia" w:ascii="宋体" w:hAnsi="宋体"/>
          <w:bCs/>
          <w:sz w:val="18"/>
          <w:szCs w:val="18"/>
        </w:rPr>
        <w:t>1）投资标准化债权类资产的风险</w:t>
      </w:r>
    </w:p>
    <w:p>
      <w:pPr>
        <w:pStyle w:val="12"/>
        <w:ind w:firstLine="360"/>
        <w:rPr>
          <w:rFonts w:ascii="宋体" w:hAnsi="宋体"/>
          <w:bCs/>
          <w:sz w:val="18"/>
          <w:szCs w:val="18"/>
        </w:rPr>
      </w:pPr>
      <w:r>
        <w:rPr>
          <w:rFonts w:hint="eastAsia" w:ascii="宋体" w:hAnsi="宋体"/>
          <w:bCs/>
          <w:sz w:val="18"/>
          <w:szCs w:val="18"/>
        </w:rPr>
        <w:t>本产品投资债券、资产支持证券等固定收益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2"/>
        <w:ind w:firstLine="360"/>
        <w:rPr>
          <w:rFonts w:ascii="宋体" w:hAnsi="宋体"/>
          <w:bCs/>
          <w:sz w:val="18"/>
          <w:szCs w:val="18"/>
        </w:rPr>
      </w:pPr>
      <w:r>
        <w:rPr>
          <w:rFonts w:hint="eastAsia" w:ascii="宋体" w:hAnsi="宋体"/>
          <w:bCs/>
          <w:sz w:val="18"/>
          <w:szCs w:val="18"/>
        </w:rPr>
        <w:t>2）投资非标准化债权类资产的风险</w:t>
      </w:r>
    </w:p>
    <w:p>
      <w:pPr>
        <w:pStyle w:val="12"/>
        <w:ind w:firstLine="360"/>
        <w:rPr>
          <w:rFonts w:ascii="宋体" w:hAnsi="宋体"/>
          <w:bCs/>
          <w:sz w:val="18"/>
          <w:szCs w:val="18"/>
        </w:rPr>
      </w:pPr>
      <w:r>
        <w:rPr>
          <w:rFonts w:hint="eastAsia" w:ascii="宋体" w:hAnsi="宋体"/>
          <w:bCs/>
          <w:sz w:val="18"/>
          <w:szCs w:val="18"/>
        </w:rPr>
        <w:t>本产品投资非标债权类资产时可能面临以下风险：由于融资主体/增信主体/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pPr>
        <w:pStyle w:val="12"/>
        <w:ind w:firstLine="360"/>
        <w:rPr>
          <w:rFonts w:ascii="宋体" w:hAnsi="宋体"/>
          <w:bCs/>
          <w:sz w:val="18"/>
          <w:szCs w:val="18"/>
        </w:rPr>
      </w:pPr>
      <w:r>
        <w:rPr>
          <w:rFonts w:hint="eastAsia" w:ascii="宋体" w:hAnsi="宋体"/>
          <w:bCs/>
          <w:sz w:val="18"/>
          <w:szCs w:val="18"/>
        </w:rPr>
        <w:t xml:space="preserve">（2）投资商品和金融衍生品类资产的风险 </w:t>
      </w:r>
    </w:p>
    <w:p>
      <w:pPr>
        <w:pStyle w:val="12"/>
        <w:ind w:firstLine="360"/>
        <w:rPr>
          <w:rFonts w:ascii="宋体" w:hAnsi="宋体"/>
          <w:bCs/>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pStyle w:val="12"/>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pStyle w:val="12"/>
        <w:ind w:firstLine="426" w:firstLineChars="0"/>
        <w:rPr>
          <w:rFonts w:ascii="宋体" w:hAnsi="宋体"/>
          <w:b/>
          <w:bCs/>
          <w:sz w:val="18"/>
          <w:szCs w:val="18"/>
        </w:rPr>
      </w:pPr>
      <w:r>
        <w:rPr>
          <w:rFonts w:hint="eastAsia" w:ascii="宋体" w:hAnsi="宋体"/>
          <w:b/>
          <w:bCs/>
          <w:sz w:val="18"/>
          <w:szCs w:val="18"/>
        </w:rPr>
        <w:t xml:space="preserve">（二）投资者投资本产品可能面临的一般风险主要包括（但不限于）： </w:t>
      </w:r>
    </w:p>
    <w:p>
      <w:pPr>
        <w:pStyle w:val="12"/>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2"/>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2"/>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2"/>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2"/>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2"/>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2"/>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2"/>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2"/>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2"/>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2"/>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分配</w:t>
      </w:r>
      <w:r>
        <w:rPr>
          <w:rFonts w:ascii="宋体" w:hAnsi="宋体"/>
          <w:b/>
          <w:bCs/>
          <w:sz w:val="18"/>
          <w:szCs w:val="18"/>
        </w:rPr>
        <w:t>风险</w:t>
      </w:r>
    </w:p>
    <w:p>
      <w:pPr>
        <w:pStyle w:val="12"/>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2"/>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早偿风险</w:t>
      </w:r>
    </w:p>
    <w:p>
      <w:pPr>
        <w:pStyle w:val="12"/>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pStyle w:val="12"/>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2"/>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1"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2"/>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2"/>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2"/>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2"/>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2"/>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2"/>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2"/>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2"/>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2"/>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2"/>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2"/>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2"/>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1"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2"/>
        <w:ind w:firstLineChars="0"/>
        <w:rPr>
          <w:rFonts w:ascii="宋体" w:hAnsi="宋体"/>
          <w:b/>
          <w:bCs/>
          <w:sz w:val="18"/>
          <w:szCs w:val="18"/>
        </w:rPr>
      </w:pPr>
      <w:r>
        <w:rPr>
          <w:rFonts w:hint="eastAsia" w:ascii="宋体" w:hAnsi="宋体"/>
          <w:b/>
          <w:bCs/>
          <w:sz w:val="18"/>
          <w:szCs w:val="18"/>
        </w:rPr>
        <w:t>17.关联交易风险</w:t>
      </w:r>
    </w:p>
    <w:p>
      <w:pPr>
        <w:pStyle w:val="12"/>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五、【非机构投资者适用】</w:t>
      </w:r>
      <w:r>
        <w:rPr>
          <w:rFonts w:hint="eastAsia" w:ascii="宋体" w:hAnsi="宋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r>
        <w:rPr>
          <w:rFonts w:hint="eastAsia" w:ascii="宋体" w:hAnsi="宋体"/>
          <w:sz w:val="18"/>
          <w:szCs w:val="18"/>
        </w:rPr>
        <w:t>销售机构（【福建省农村信用社联合社】）</w:t>
      </w:r>
    </w:p>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8"/>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8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
      <w:pPr>
        <w:spacing w:line="360" w:lineRule="auto"/>
        <w:jc w:val="left"/>
        <w:rPr>
          <w:rFonts w:hint="eastAsia" w:ascii="宋体" w:hAnsi="宋体"/>
          <w:b/>
          <w:sz w:val="18"/>
          <w:szCs w:val="18"/>
        </w:rPr>
        <w:sectPr>
          <w:headerReference r:id="rId11" w:type="default"/>
          <w:footerReference r:id="rId12" w:type="default"/>
          <w:pgSz w:w="11906" w:h="16838"/>
          <w:pgMar w:top="1440" w:right="1800" w:bottom="1440" w:left="1800" w:header="567" w:footer="964" w:gutter="0"/>
          <w:cols w:space="425" w:num="1"/>
          <w:docGrid w:type="lines" w:linePitch="312" w:charSpace="0"/>
        </w:sectPr>
      </w:pPr>
    </w:p>
    <w:p>
      <w:pPr>
        <w:adjustRightInd w:val="0"/>
        <w:spacing w:line="276" w:lineRule="auto"/>
        <w:jc w:val="center"/>
        <w:rPr>
          <w:rStyle w:val="10"/>
          <w:rFonts w:ascii="黑体" w:hAnsi="黑体" w:eastAsia="黑体"/>
          <w:sz w:val="28"/>
          <w:szCs w:val="28"/>
        </w:rPr>
      </w:pPr>
      <w:bookmarkStart w:id="222" w:name="_GoBack"/>
      <w:r>
        <w:rPr>
          <w:rStyle w:val="10"/>
          <w:rFonts w:hint="eastAsia" w:ascii="黑体" w:hAnsi="黑体" w:eastAsia="黑体"/>
          <w:sz w:val="28"/>
          <w:szCs w:val="28"/>
        </w:rPr>
        <w:t>兴银理财</w:t>
      </w:r>
      <w:r>
        <w:rPr>
          <w:rFonts w:hint="eastAsia" w:ascii="黑体" w:hAnsi="黑体" w:eastAsia="黑体"/>
          <w:b/>
          <w:bCs/>
          <w:sz w:val="28"/>
          <w:szCs w:val="28"/>
        </w:rPr>
        <w:t>稳利安盈封闭式</w:t>
      </w:r>
      <w:r>
        <w:rPr>
          <w:rStyle w:val="10"/>
          <w:rFonts w:hint="eastAsia" w:ascii="黑体" w:hAnsi="黑体" w:eastAsia="黑体"/>
          <w:sz w:val="28"/>
          <w:szCs w:val="28"/>
        </w:rPr>
        <w:t>理财产品</w:t>
      </w:r>
    </w:p>
    <w:p>
      <w:pPr>
        <w:adjustRightInd w:val="0"/>
        <w:spacing w:line="276" w:lineRule="auto"/>
        <w:jc w:val="center"/>
        <w:rPr>
          <w:rStyle w:val="10"/>
          <w:rFonts w:ascii="黑体" w:hAnsi="黑体" w:eastAsia="黑体"/>
          <w:sz w:val="28"/>
          <w:szCs w:val="28"/>
        </w:rPr>
      </w:pPr>
      <w:r>
        <w:rPr>
          <w:rStyle w:val="10"/>
          <w:rFonts w:hint="eastAsia" w:ascii="黑体" w:hAnsi="黑体" w:eastAsia="黑体"/>
          <w:sz w:val="28"/>
          <w:szCs w:val="28"/>
        </w:rPr>
        <w:t>投资者权益须知</w:t>
      </w:r>
    </w:p>
    <w:p>
      <w:pPr>
        <w:pStyle w:val="14"/>
        <w:jc w:val="center"/>
        <w:rPr>
          <w:rFonts w:hAnsi="宋体"/>
          <w:b/>
          <w:color w:val="auto"/>
          <w:sz w:val="28"/>
          <w:szCs w:val="28"/>
        </w:rPr>
      </w:pPr>
      <w:r>
        <w:rPr>
          <w:rFonts w:hint="eastAsia" w:hAnsi="宋体"/>
          <w:b/>
          <w:color w:val="auto"/>
          <w:sz w:val="28"/>
          <w:szCs w:val="28"/>
        </w:rPr>
        <w:t>（适用于个人投资者）</w:t>
      </w:r>
    </w:p>
    <w:p>
      <w:pPr>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感谢您通过销售机构【福建省农村信用社联合社】以(□ 直销：产品管理人销售/</w:t>
      </w:r>
      <w:r>
        <w:rPr>
          <w:rFonts w:hint="eastAsia" w:asciiTheme="majorEastAsia" w:hAnsiTheme="majorEastAsia" w:eastAsiaTheme="majorEastAsia"/>
          <w:bCs/>
          <w:sz w:val="18"/>
          <w:szCs w:val="18"/>
        </w:rPr>
        <w:t>■</w:t>
      </w:r>
      <w:r>
        <w:rPr>
          <w:rFonts w:hint="eastAsia" w:ascii="宋体" w:hAnsi="宋体"/>
          <w:sz w:val="18"/>
          <w:szCs w:val="18"/>
        </w:rPr>
        <w:t xml:space="preserve">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ind w:firstLine="360" w:firstLineChars="200"/>
        <w:rPr>
          <w:rFonts w:ascii="宋体" w:hAnsi="宋体"/>
          <w:sz w:val="18"/>
          <w:szCs w:val="18"/>
        </w:rPr>
      </w:pPr>
    </w:p>
    <w:p>
      <w:pPr>
        <w:ind w:firstLine="361" w:firstLineChars="200"/>
        <w:rPr>
          <w:rFonts w:ascii="宋体" w:hAnsi="宋体"/>
          <w:b/>
          <w:sz w:val="18"/>
          <w:szCs w:val="18"/>
        </w:rPr>
      </w:pPr>
      <w:r>
        <w:rPr>
          <w:rFonts w:hint="eastAsia" w:ascii="宋体" w:hAnsi="宋体"/>
          <w:b/>
          <w:sz w:val="18"/>
          <w:szCs w:val="18"/>
        </w:rPr>
        <w:t>一、理财产品购买流程</w:t>
      </w:r>
    </w:p>
    <w:p>
      <w:pPr>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r>
        <w:rPr>
          <w:rFonts w:hint="eastAsia" w:ascii="宋体" w:hAnsi="宋体"/>
          <w:sz w:val="18"/>
          <w:szCs w:val="18"/>
        </w:rPr>
        <w:t>若销售机构对您风险承受能力评估事宜另有安排的，以销售机构政策为准。</w:t>
      </w:r>
    </w:p>
    <w:p>
      <w:pPr>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ind w:firstLine="360" w:firstLineChars="200"/>
        <w:rPr>
          <w:rFonts w:ascii="宋体" w:hAnsi="宋体"/>
          <w:sz w:val="18"/>
          <w:szCs w:val="18"/>
        </w:rPr>
      </w:pPr>
      <w:r>
        <w:rPr>
          <w:rFonts w:hint="eastAsia" w:ascii="宋体" w:hAnsi="宋体"/>
          <w:sz w:val="18"/>
          <w:szCs w:val="18"/>
        </w:rPr>
        <w:t>（四）销售机构营业网点或电子银行（包括但不限于网上银行、电话银行和手机银行）均可办理理财产品的购买手续，具体以代销机构情况为准。若产品管理人根据产品风险等级和市场情况确定发售渠道的，代销机构将按产品管理人要求执行。</w:t>
      </w:r>
    </w:p>
    <w:p>
      <w:pPr>
        <w:ind w:firstLine="361" w:firstLineChars="200"/>
        <w:rPr>
          <w:rFonts w:ascii="宋体" w:hAnsi="宋体"/>
          <w:b/>
          <w:sz w:val="18"/>
          <w:szCs w:val="18"/>
        </w:rPr>
      </w:pPr>
      <w:r>
        <w:rPr>
          <w:rFonts w:hint="eastAsia" w:ascii="宋体" w:hAnsi="宋体"/>
          <w:b/>
          <w:sz w:val="18"/>
          <w:szCs w:val="18"/>
        </w:rPr>
        <w:t>二、投资者风险承受能力与产品风险评级</w:t>
      </w:r>
    </w:p>
    <w:p>
      <w:pPr>
        <w:ind w:firstLine="361" w:firstLineChars="200"/>
        <w:rPr>
          <w:rFonts w:ascii="宋体" w:hAnsi="宋体"/>
          <w:b/>
          <w:sz w:val="18"/>
          <w:szCs w:val="18"/>
        </w:rPr>
      </w:pPr>
      <w:r>
        <w:rPr>
          <w:rFonts w:hint="eastAsia" w:ascii="宋体" w:hAnsi="宋体"/>
          <w:b/>
          <w:sz w:val="18"/>
          <w:szCs w:val="18"/>
        </w:rPr>
        <w:t>（一）投资者风险承受能力评估说明</w:t>
      </w:r>
    </w:p>
    <w:p>
      <w:pPr>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 xml:space="preserve"> </w:t>
      </w:r>
      <w:r>
        <w:rPr>
          <w:rFonts w:hint="eastAsia" w:ascii="宋体" w:hAnsi="宋体"/>
          <w:sz w:val="18"/>
          <w:szCs w:val="18"/>
        </w:rPr>
        <w:t>您购买理财产品前，应确保已完成风险承受能力评估且风险评估结果在有效期内，理财销售管理系统会记录投资者身份信息及风险评估结果信息。该评估结果有效期一年，并将作为评价您是否适合购买理财产品的重要因素。您可以通过销售机构</w:t>
      </w:r>
      <w:r>
        <w:rPr>
          <w:rFonts w:ascii="宋体" w:hAnsi="宋体"/>
          <w:sz w:val="18"/>
          <w:szCs w:val="18"/>
        </w:rPr>
        <w:t>线下渠道</w:t>
      </w:r>
      <w:r>
        <w:rPr>
          <w:rFonts w:hint="eastAsia" w:ascii="宋体" w:hAnsi="宋体"/>
          <w:sz w:val="18"/>
          <w:szCs w:val="18"/>
        </w:rPr>
        <w:t>或</w:t>
      </w:r>
      <w:r>
        <w:rPr>
          <w:rFonts w:ascii="宋体" w:hAnsi="宋体"/>
          <w:sz w:val="18"/>
          <w:szCs w:val="18"/>
        </w:rPr>
        <w:t>线上渠道</w:t>
      </w:r>
      <w:r>
        <w:rPr>
          <w:rFonts w:hint="eastAsia" w:ascii="宋体" w:hAnsi="宋体"/>
          <w:sz w:val="18"/>
          <w:szCs w:val="18"/>
        </w:rPr>
        <w:t>进行风险承受能力持续评估。</w:t>
      </w:r>
      <w:r>
        <w:rPr>
          <w:rFonts w:hint="eastAsia" w:ascii="黑体" w:hAnsi="黑体" w:eastAsia="黑体"/>
          <w:b/>
          <w:sz w:val="18"/>
          <w:szCs w:val="18"/>
        </w:rPr>
        <w:t>如影响您风险承受能力的因素发生变化，请您及时重新完成风险承受能力评估。</w:t>
      </w:r>
    </w:p>
    <w:p>
      <w:pPr>
        <w:ind w:firstLine="360" w:firstLineChars="200"/>
        <w:rPr>
          <w:rFonts w:hint="eastAsia" w:ascii="宋体" w:hAnsi="宋体"/>
          <w:sz w:val="18"/>
          <w:szCs w:val="18"/>
        </w:rPr>
      </w:pPr>
      <w:r>
        <w:rPr>
          <w:rFonts w:hint="eastAsia" w:ascii="宋体" w:hAnsi="宋体"/>
          <w:sz w:val="18"/>
          <w:szCs w:val="18"/>
        </w:rPr>
        <w:t xml:space="preserve">2. </w:t>
      </w:r>
      <w:r>
        <w:rPr>
          <w:rFonts w:hint="eastAsia" w:ascii="宋体" w:hAnsi="宋体"/>
          <w:b/>
          <w:sz w:val="18"/>
          <w:szCs w:val="18"/>
        </w:rPr>
        <w:t>投资者风险承受能力评级与理财产品风险评级</w:t>
      </w:r>
    </w:p>
    <w:p>
      <w:pPr>
        <w:ind w:firstLine="360" w:firstLineChars="200"/>
        <w:rPr>
          <w:rFonts w:ascii="宋体" w:hAnsi="宋体"/>
          <w:sz w:val="18"/>
          <w:szCs w:val="18"/>
        </w:rPr>
      </w:pPr>
      <w:r>
        <w:rPr>
          <w:rFonts w:hint="eastAsia" w:ascii="宋体" w:hAnsi="宋体"/>
          <w:sz w:val="18"/>
          <w:szCs w:val="18"/>
        </w:rPr>
        <w:t>销售机构</w:t>
      </w:r>
      <w:r>
        <w:rPr>
          <w:rFonts w:ascii="宋体" w:hAnsi="宋体"/>
          <w:sz w:val="18"/>
          <w:szCs w:val="18"/>
        </w:rPr>
        <w:t>根据</w:t>
      </w:r>
      <w:r>
        <w:rPr>
          <w:rFonts w:hint="eastAsia" w:ascii="宋体" w:hAnsi="宋体"/>
          <w:sz w:val="18"/>
          <w:szCs w:val="18"/>
        </w:rPr>
        <w:t>投资者风险承受能力，</w:t>
      </w:r>
      <w:r>
        <w:rPr>
          <w:rFonts w:hint="eastAsia" w:ascii="宋体" w:hAnsi="宋体"/>
          <w:sz w:val="18"/>
          <w:szCs w:val="18"/>
          <w:lang w:val="en-US" w:eastAsia="zh-CN"/>
        </w:rPr>
        <w:t>机构</w:t>
      </w:r>
      <w:r>
        <w:rPr>
          <w:rFonts w:hint="eastAsia" w:ascii="宋体" w:hAnsi="宋体"/>
          <w:sz w:val="18"/>
          <w:szCs w:val="18"/>
        </w:rPr>
        <w:t>投资者由低至高分为【</w:t>
      </w:r>
      <w:r>
        <w:rPr>
          <w:rFonts w:hint="eastAsia" w:ascii="宋体" w:hAnsi="宋体"/>
          <w:sz w:val="18"/>
          <w:szCs w:val="18"/>
          <w:lang w:val="en-US" w:eastAsia="zh-CN"/>
        </w:rPr>
        <w:t>保守型、谨慎型、稳健型、进取型、激进型</w:t>
      </w:r>
      <w:r>
        <w:rPr>
          <w:rFonts w:hint="eastAsia" w:ascii="宋体" w:hAnsi="宋体"/>
          <w:sz w:val="18"/>
          <w:szCs w:val="18"/>
        </w:rPr>
        <w:t>】</w:t>
      </w:r>
      <w:r>
        <w:rPr>
          <w:rFonts w:ascii="宋体" w:hAnsi="宋体"/>
          <w:sz w:val="18"/>
          <w:szCs w:val="18"/>
        </w:rPr>
        <w:t>。其中，</w:t>
      </w:r>
      <w:r>
        <w:rPr>
          <w:rFonts w:hint="eastAsia" w:ascii="宋体" w:hAnsi="宋体"/>
          <w:sz w:val="18"/>
          <w:szCs w:val="18"/>
        </w:rPr>
        <w:t>【</w:t>
      </w:r>
      <w:r>
        <w:rPr>
          <w:rFonts w:hint="eastAsia" w:ascii="宋体" w:hAnsi="宋体"/>
          <w:sz w:val="18"/>
          <w:szCs w:val="18"/>
          <w:lang w:val="en-US" w:eastAsia="zh-CN"/>
        </w:rPr>
        <w:t>保守型</w:t>
      </w:r>
      <w:r>
        <w:rPr>
          <w:rFonts w:hint="eastAsia" w:ascii="宋体" w:hAnsi="宋体"/>
          <w:sz w:val="18"/>
          <w:szCs w:val="18"/>
        </w:rPr>
        <w:t>】</w:t>
      </w:r>
      <w:r>
        <w:rPr>
          <w:rFonts w:ascii="宋体" w:hAnsi="宋体"/>
          <w:sz w:val="18"/>
          <w:szCs w:val="18"/>
        </w:rPr>
        <w:t>为风险承受能力最低类别，</w:t>
      </w:r>
      <w:r>
        <w:rPr>
          <w:rFonts w:hint="eastAsia" w:ascii="宋体" w:hAnsi="宋体"/>
          <w:sz w:val="18"/>
          <w:szCs w:val="18"/>
        </w:rPr>
        <w:t>【</w:t>
      </w:r>
      <w:r>
        <w:rPr>
          <w:rFonts w:hint="eastAsia" w:ascii="宋体" w:hAnsi="宋体"/>
          <w:sz w:val="18"/>
          <w:szCs w:val="18"/>
          <w:lang w:val="en-US" w:eastAsia="zh-CN"/>
        </w:rPr>
        <w:t>激进型</w:t>
      </w:r>
      <w:r>
        <w:rPr>
          <w:rFonts w:hint="eastAsia" w:ascii="宋体" w:hAnsi="宋体"/>
          <w:sz w:val="18"/>
          <w:szCs w:val="18"/>
        </w:rPr>
        <w:t>】</w:t>
      </w:r>
      <w:r>
        <w:rPr>
          <w:rFonts w:ascii="宋体" w:hAnsi="宋体"/>
          <w:sz w:val="18"/>
          <w:szCs w:val="18"/>
        </w:rPr>
        <w:t>为风险承受能力最高类别。风险承受能力评级越高适合购买的理财产品风险评级越高，适合购买的理财产品类型越丰富</w:t>
      </w:r>
      <w:r>
        <w:rPr>
          <w:rFonts w:hint="eastAsia" w:ascii="宋体" w:hAnsi="宋体"/>
          <w:sz w:val="18"/>
          <w:szCs w:val="18"/>
        </w:rPr>
        <w:t>，</w:t>
      </w:r>
      <w:r>
        <w:rPr>
          <w:rFonts w:ascii="宋体" w:hAnsi="宋体"/>
          <w:sz w:val="18"/>
          <w:szCs w:val="18"/>
        </w:rPr>
        <w:t>投资者风险承受能力风险评级类型与适合购买的理财产品的对应关系为：</w:t>
      </w:r>
    </w:p>
    <w:tbl>
      <w:tblPr>
        <w:tblStyle w:val="7"/>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992"/>
        <w:gridCol w:w="1276"/>
        <w:gridCol w:w="1275"/>
        <w:gridCol w:w="241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风险调查问卷分值</w:t>
            </w:r>
          </w:p>
        </w:tc>
        <w:tc>
          <w:tcPr>
            <w:tcW w:w="1276" w:type="dxa"/>
            <w:vMerge w:val="restart"/>
            <w:tcBorders>
              <w:top w:val="single" w:color="auto" w:sz="4" w:space="0"/>
              <w:left w:val="single" w:color="auto" w:sz="4" w:space="0"/>
              <w:right w:val="single" w:color="auto" w:sz="4" w:space="0"/>
            </w:tcBorders>
            <w:vAlign w:val="center"/>
          </w:tcPr>
          <w:p>
            <w:pPr>
              <w:spacing w:line="0" w:lineRule="atLeast"/>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投资者类型</w:t>
            </w:r>
          </w:p>
        </w:tc>
        <w:tc>
          <w:tcPr>
            <w:tcW w:w="1275" w:type="dxa"/>
            <w:vMerge w:val="restart"/>
            <w:tcBorders>
              <w:top w:val="single" w:color="auto" w:sz="4" w:space="0"/>
              <w:left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投资者风险承受等级</w:t>
            </w:r>
          </w:p>
        </w:tc>
        <w:tc>
          <w:tcPr>
            <w:tcW w:w="2410" w:type="dxa"/>
            <w:vMerge w:val="restart"/>
            <w:tcBorders>
              <w:top w:val="single" w:color="auto" w:sz="4" w:space="0"/>
              <w:left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风险特征描述</w:t>
            </w:r>
          </w:p>
        </w:tc>
        <w:tc>
          <w:tcPr>
            <w:tcW w:w="1418" w:type="dxa"/>
            <w:vMerge w:val="restart"/>
            <w:tcBorders>
              <w:top w:val="single" w:color="auto" w:sz="4" w:space="0"/>
              <w:left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适合理财评级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自然人</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法人单位</w:t>
            </w:r>
          </w:p>
        </w:tc>
        <w:tc>
          <w:tcPr>
            <w:tcW w:w="1276" w:type="dxa"/>
            <w:vMerge w:val="continue"/>
            <w:tcBorders>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p>
        </w:tc>
        <w:tc>
          <w:tcPr>
            <w:tcW w:w="1275" w:type="dxa"/>
            <w:vMerge w:val="continue"/>
            <w:tcBorders>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p>
        </w:tc>
        <w:tc>
          <w:tcPr>
            <w:tcW w:w="2410" w:type="dxa"/>
            <w:vMerge w:val="continue"/>
            <w:tcBorders>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p>
        </w:tc>
        <w:tc>
          <w:tcPr>
            <w:tcW w:w="1418" w:type="dxa"/>
            <w:vMerge w:val="continue"/>
            <w:tcBorders>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81－100</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86-100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激进型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高风险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属于可以承受高风险级别的投资者。适合投资于商品及金融衍生品类产品。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高风险R5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61－80</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71-85</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进取型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中高风险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属于可以承担较高风险级别的投资者。适合投资于权益类产品。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中高风险R4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ind w:firstLine="90" w:firstLineChars="5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36－60</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46-70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稳健型</w:t>
            </w:r>
          </w:p>
        </w:tc>
        <w:tc>
          <w:tcPr>
            <w:tcW w:w="1275" w:type="dxa"/>
            <w:tcBorders>
              <w:top w:val="single" w:color="auto" w:sz="4" w:space="0"/>
              <w:left w:val="single" w:color="auto" w:sz="4" w:space="0"/>
              <w:bottom w:val="single" w:color="auto" w:sz="4" w:space="0"/>
              <w:right w:val="single" w:color="auto" w:sz="4" w:space="0"/>
            </w:tcBorders>
            <w:vAlign w:val="center"/>
          </w:tcPr>
          <w:p>
            <w:pPr>
              <w:pStyle w:val="14"/>
              <w:spacing w:line="540" w:lineRule="exact"/>
              <w:contextualSpacing/>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中等风险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属于可以承担中等风险级别的投资者。适合投资于混合类产品。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中等风险R3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ind w:firstLine="90" w:firstLineChars="5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16－35</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31-45</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谨慎型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中低风险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属于可以承担较低风险级别的投资者。适合投资于含股权性质或债项评级低于AA+的固定收益类产品。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中低风险R2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-9－15</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小于等于30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保守型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低风险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属于可以承担低风险级别的投资者。适合投资于股权或债项评级高于AA+（含）以上的固定收益类产品。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低风险R1</w:t>
            </w:r>
          </w:p>
        </w:tc>
      </w:tr>
    </w:tbl>
    <w:p>
      <w:pPr>
        <w:ind w:firstLine="360" w:firstLineChars="200"/>
        <w:rPr>
          <w:rFonts w:ascii="黑体" w:hAnsi="黑体" w:eastAsia="黑体"/>
          <w:sz w:val="18"/>
          <w:szCs w:val="18"/>
        </w:rPr>
      </w:pPr>
      <w:r>
        <w:rPr>
          <w:rFonts w:hint="eastAsia" w:ascii="黑体" w:hAnsi="黑体" w:eastAsia="黑体" w:cs="仿宋_GB2312"/>
          <w:bCs/>
          <w:kern w:val="0"/>
          <w:sz w:val="18"/>
          <w:szCs w:val="18"/>
        </w:rPr>
        <w:t>★</w:t>
      </w:r>
      <w:r>
        <w:rPr>
          <w:rFonts w:hint="eastAsia" w:ascii="黑体" w:hAnsi="黑体" w:eastAsia="黑体"/>
          <w:sz w:val="18"/>
          <w:szCs w:val="18"/>
        </w:rPr>
        <w:t>（二）针对“理财产品风险评级”、 “投资者风险承受能力”、“适合投资者类型”的不同划分与表述的特别提示</w:t>
      </w:r>
    </w:p>
    <w:p>
      <w:pPr>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w:t>
      </w:r>
      <w:r>
        <w:rPr>
          <w:rFonts w:hint="eastAsia" w:ascii="黑体" w:hAnsi="黑体" w:eastAsia="黑体"/>
          <w:sz w:val="18"/>
          <w:szCs w:val="18"/>
        </w:rPr>
        <w:t>销售机构在销售本产品时，其对“理财产品风险评级”、“投资者风险承受能力”、“适合投资者类型”等级的划分与表述可能与产品管理人存在差异，即采用销售机构设置的标准。</w:t>
      </w:r>
    </w:p>
    <w:p>
      <w:pPr>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销售机构应以书面的方式向投资者明示其对“理财产品风险评级”、“投资者风险承受能力等级”的划分与“适合投资者类型”的表述。</w:t>
      </w:r>
    </w:p>
    <w:p>
      <w:pPr>
        <w:ind w:firstLine="361" w:firstLineChars="200"/>
        <w:rPr>
          <w:rFonts w:ascii="宋体" w:hAnsi="宋体"/>
          <w:b/>
          <w:sz w:val="18"/>
          <w:szCs w:val="18"/>
        </w:rPr>
      </w:pPr>
      <w:r>
        <w:rPr>
          <w:rFonts w:hint="eastAsia" w:ascii="宋体" w:hAnsi="宋体"/>
          <w:b/>
          <w:sz w:val="18"/>
          <w:szCs w:val="18"/>
        </w:rPr>
        <w:t>三、关于理财产品的信息披露</w:t>
      </w:r>
    </w:p>
    <w:p>
      <w:pPr>
        <w:ind w:firstLine="360" w:firstLineChars="200"/>
        <w:rPr>
          <w:rFonts w:asciiTheme="minorEastAsia" w:hAnsiTheme="minorEastAsia"/>
          <w:sz w:val="18"/>
          <w:szCs w:val="18"/>
        </w:rPr>
      </w:pPr>
      <w:r>
        <w:rPr>
          <w:rFonts w:hint="eastAsia" w:ascii="宋体" w:hAnsi="宋体"/>
          <w:bCs/>
          <w:sz w:val="18"/>
          <w:szCs w:val="18"/>
        </w:rPr>
        <w:t>理财产品的信息披露将通过产品管理人或销售机构的门户网站、电子销售渠道或营业网点等进行。</w:t>
      </w:r>
      <w:r>
        <w:rPr>
          <w:rFonts w:asciiTheme="minorEastAsia" w:hAnsiTheme="minorEastAsia"/>
          <w:sz w:val="18"/>
          <w:szCs w:val="18"/>
        </w:rPr>
        <w:t>具体</w:t>
      </w:r>
      <w:r>
        <w:rPr>
          <w:rFonts w:hint="eastAsia" w:asciiTheme="minorEastAsia" w:hAnsiTheme="minorEastAsia"/>
          <w:sz w:val="18"/>
          <w:szCs w:val="18"/>
        </w:rPr>
        <w:t>信息披露的方式、渠道和频率等</w:t>
      </w:r>
      <w:r>
        <w:rPr>
          <w:rFonts w:asciiTheme="minorEastAsia" w:hAnsiTheme="minorEastAsia"/>
          <w:sz w:val="18"/>
          <w:szCs w:val="18"/>
        </w:rPr>
        <w:t>以《产品说明书》中“信息披露</w:t>
      </w:r>
      <w:r>
        <w:rPr>
          <w:rFonts w:hint="eastAsia" w:asciiTheme="minorEastAsia" w:hAnsiTheme="minorEastAsia"/>
          <w:sz w:val="18"/>
          <w:szCs w:val="18"/>
        </w:rPr>
        <w:t>”约定为准。</w:t>
      </w:r>
    </w:p>
    <w:p>
      <w:pPr>
        <w:ind w:firstLine="361" w:firstLineChars="200"/>
        <w:rPr>
          <w:rFonts w:asciiTheme="minorEastAsia" w:hAnsiTheme="minorEastAsia"/>
          <w:b/>
          <w:sz w:val="18"/>
          <w:szCs w:val="18"/>
        </w:rPr>
      </w:pPr>
      <w:r>
        <w:rPr>
          <w:rFonts w:hint="eastAsia" w:ascii="宋体" w:hAnsi="宋体"/>
          <w:b/>
          <w:sz w:val="18"/>
          <w:szCs w:val="18"/>
        </w:rPr>
        <w:t>四、关于投诉与建议</w:t>
      </w:r>
    </w:p>
    <w:p>
      <w:pPr>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ind w:firstLine="360" w:firstLineChars="200"/>
        <w:rPr>
          <w:rFonts w:ascii="宋体" w:hAnsi="宋体"/>
          <w:sz w:val="18"/>
          <w:szCs w:val="18"/>
        </w:rPr>
      </w:pPr>
      <w:r>
        <w:rPr>
          <w:rFonts w:hint="eastAsia" w:ascii="宋体" w:hAnsi="宋体"/>
          <w:sz w:val="18"/>
          <w:szCs w:val="18"/>
        </w:rPr>
        <w:t>（二）联络方式</w:t>
      </w:r>
      <w:r>
        <w:rPr>
          <w:rFonts w:ascii="宋体" w:hAnsi="宋体"/>
          <w:sz w:val="18"/>
          <w:szCs w:val="18"/>
        </w:rPr>
        <w:t xml:space="preserve"> </w:t>
      </w:r>
    </w:p>
    <w:p>
      <w:pPr>
        <w:ind w:firstLine="360" w:firstLineChars="200"/>
        <w:rPr>
          <w:rFonts w:ascii="宋体" w:hAnsi="宋体"/>
          <w:sz w:val="18"/>
          <w:szCs w:val="18"/>
        </w:rPr>
      </w:pPr>
      <w:r>
        <w:rPr>
          <w:rFonts w:hint="eastAsia" w:ascii="宋体" w:hAnsi="宋体"/>
          <w:sz w:val="18"/>
          <w:szCs w:val="18"/>
        </w:rPr>
        <w:t>1、产品管理人：兴银理财有限责任公司</w:t>
      </w:r>
    </w:p>
    <w:p>
      <w:pPr>
        <w:ind w:firstLine="360" w:firstLineChars="200"/>
        <w:rPr>
          <w:rFonts w:ascii="宋体" w:hAnsi="宋体"/>
          <w:sz w:val="18"/>
          <w:szCs w:val="18"/>
        </w:rPr>
      </w:pPr>
      <w:r>
        <w:rPr>
          <w:rFonts w:hint="eastAsia" w:ascii="宋体" w:hAnsi="宋体"/>
          <w:sz w:val="18"/>
          <w:szCs w:val="18"/>
        </w:rPr>
        <w:t>客户服务热线：40015-95561。</w:t>
      </w:r>
    </w:p>
    <w:p>
      <w:pPr>
        <w:spacing w:line="280" w:lineRule="atLeast"/>
        <w:ind w:firstLine="360" w:firstLineChars="200"/>
        <w:rPr>
          <w:rFonts w:ascii="宋体" w:hAnsi="宋体"/>
          <w:sz w:val="18"/>
          <w:szCs w:val="18"/>
        </w:rPr>
      </w:pPr>
      <w:r>
        <w:rPr>
          <w:rFonts w:hint="eastAsia" w:ascii="宋体" w:hAnsi="宋体"/>
          <w:sz w:val="18"/>
          <w:szCs w:val="18"/>
        </w:rPr>
        <w:t>2、</w:t>
      </w:r>
      <w:r>
        <w:rPr>
          <w:rFonts w:ascii="宋体" w:hAnsi="宋体"/>
          <w:sz w:val="18"/>
          <w:szCs w:val="18"/>
        </w:rPr>
        <w:t>销售机构</w:t>
      </w:r>
      <w:r>
        <w:rPr>
          <w:rFonts w:hint="eastAsia" w:ascii="宋体" w:hAnsi="宋体"/>
          <w:sz w:val="18"/>
          <w:szCs w:val="18"/>
        </w:rPr>
        <w:t>：兴业银行股份有限公司</w:t>
      </w:r>
    </w:p>
    <w:p>
      <w:pPr>
        <w:spacing w:line="280" w:lineRule="atLeast"/>
        <w:ind w:firstLine="360" w:firstLineChars="200"/>
        <w:rPr>
          <w:rFonts w:ascii="宋体" w:hAnsi="宋体"/>
          <w:sz w:val="18"/>
          <w:szCs w:val="18"/>
        </w:rPr>
      </w:pPr>
      <w:r>
        <w:rPr>
          <w:rFonts w:hint="eastAsia" w:ascii="宋体" w:hAnsi="宋体"/>
          <w:sz w:val="18"/>
          <w:szCs w:val="18"/>
        </w:rPr>
        <w:t>兴业银行理财经理或兴业银行各营业网点。</w:t>
      </w:r>
    </w:p>
    <w:p>
      <w:pPr>
        <w:spacing w:line="280" w:lineRule="atLeast"/>
        <w:ind w:firstLine="360" w:firstLineChars="200"/>
        <w:rPr>
          <w:rFonts w:ascii="宋体" w:hAnsi="宋体"/>
          <w:sz w:val="18"/>
          <w:szCs w:val="18"/>
        </w:rPr>
      </w:pPr>
      <w:r>
        <w:rPr>
          <w:rFonts w:ascii="宋体" w:hAnsi="宋体"/>
          <w:sz w:val="18"/>
          <w:szCs w:val="18"/>
        </w:rPr>
        <w:t>兴业银行</w:t>
      </w:r>
      <w:r>
        <w:rPr>
          <w:rFonts w:hint="eastAsia" w:ascii="宋体" w:hAnsi="宋体"/>
          <w:sz w:val="18"/>
          <w:szCs w:val="18"/>
        </w:rPr>
        <w:t>客户投诉电话：【</w:t>
      </w:r>
      <w:r>
        <w:rPr>
          <w:rFonts w:asciiTheme="minorEastAsia" w:hAnsiTheme="minorEastAsia"/>
          <w:sz w:val="18"/>
          <w:szCs w:val="18"/>
        </w:rPr>
        <w:t>95561</w:t>
      </w:r>
      <w:r>
        <w:rPr>
          <w:rFonts w:hint="eastAsia" w:ascii="宋体" w:hAnsi="宋体"/>
          <w:sz w:val="18"/>
          <w:szCs w:val="18"/>
        </w:rPr>
        <w:t>】。</w:t>
      </w:r>
    </w:p>
    <w:p>
      <w:pPr>
        <w:spacing w:line="280" w:lineRule="atLeast"/>
        <w:ind w:firstLine="360" w:firstLineChars="200"/>
        <w:rPr>
          <w:rFonts w:ascii="宋体" w:hAnsi="宋体"/>
          <w:sz w:val="18"/>
          <w:szCs w:val="18"/>
        </w:rPr>
      </w:pPr>
      <w:r>
        <w:rPr>
          <w:rFonts w:hint="eastAsia" w:ascii="宋体" w:hAnsi="宋体"/>
          <w:sz w:val="18"/>
          <w:szCs w:val="18"/>
        </w:rPr>
        <w:t>兴业银行总行消费者投诉受理邮箱：【</w:t>
      </w:r>
      <w:r>
        <w:fldChar w:fldCharType="begin"/>
      </w:r>
      <w:r>
        <w:instrText xml:space="preserve"> HYPERLINK "mailto:95561@cib.com.cn】" </w:instrText>
      </w:r>
      <w:r>
        <w:fldChar w:fldCharType="separate"/>
      </w:r>
      <w:r>
        <w:rPr>
          <w:rStyle w:val="11"/>
          <w:rFonts w:hint="eastAsia" w:ascii="宋体" w:hAnsi="宋体"/>
          <w:sz w:val="18"/>
          <w:szCs w:val="18"/>
        </w:rPr>
        <w:t>9</w:t>
      </w:r>
      <w:r>
        <w:rPr>
          <w:rStyle w:val="11"/>
          <w:rFonts w:ascii="宋体" w:hAnsi="宋体"/>
          <w:sz w:val="18"/>
          <w:szCs w:val="18"/>
        </w:rPr>
        <w:t>5561</w:t>
      </w:r>
      <w:r>
        <w:rPr>
          <w:rStyle w:val="11"/>
          <w:rFonts w:hint="eastAsia" w:ascii="宋体" w:hAnsi="宋体"/>
          <w:sz w:val="18"/>
          <w:szCs w:val="18"/>
        </w:rPr>
        <w:t>@</w:t>
      </w:r>
      <w:r>
        <w:rPr>
          <w:rStyle w:val="11"/>
          <w:rFonts w:asciiTheme="minorEastAsia" w:hAnsiTheme="minorEastAsia"/>
          <w:sz w:val="18"/>
          <w:szCs w:val="18"/>
        </w:rPr>
        <w:t>cib.com.cn</w:t>
      </w:r>
      <w:r>
        <w:rPr>
          <w:rStyle w:val="11"/>
          <w:rFonts w:hint="eastAsia" w:ascii="宋体" w:hAnsi="宋体"/>
          <w:sz w:val="18"/>
          <w:szCs w:val="18"/>
        </w:rPr>
        <w:t>】</w:t>
      </w:r>
      <w:r>
        <w:rPr>
          <w:rStyle w:val="11"/>
          <w:rFonts w:hint="eastAsia" w:ascii="宋体" w:hAnsi="宋体"/>
          <w:sz w:val="18"/>
          <w:szCs w:val="18"/>
        </w:rPr>
        <w:fldChar w:fldCharType="end"/>
      </w:r>
      <w:r>
        <w:rPr>
          <w:rFonts w:hint="eastAsia" w:ascii="宋体" w:hAnsi="宋体"/>
          <w:sz w:val="18"/>
          <w:szCs w:val="18"/>
        </w:rPr>
        <w:t>。</w:t>
      </w:r>
    </w:p>
    <w:p>
      <w:pPr>
        <w:autoSpaceDE w:val="0"/>
        <w:autoSpaceDN w:val="0"/>
        <w:adjustRightInd w:val="0"/>
        <w:ind w:firstLine="360" w:firstLineChars="200"/>
        <w:jc w:val="left"/>
        <w:rPr>
          <w:rFonts w:ascii="仿宋_GB2312" w:eastAsia="仿宋_GB2312" w:cs="仿宋_GB2312"/>
          <w:color w:val="000000"/>
          <w:kern w:val="0"/>
          <w:sz w:val="24"/>
          <w:szCs w:val="24"/>
        </w:rPr>
      </w:pPr>
      <w:r>
        <w:rPr>
          <w:rFonts w:hint="eastAsia" w:ascii="宋体" w:hAnsi="宋体"/>
          <w:sz w:val="18"/>
          <w:szCs w:val="18"/>
        </w:rPr>
        <w:t>3、销售机构：通过【福建省农村信用社联合社】（作为销售服务机构）购买本产品的，请联系【福建省农村信用社联合社】，【福建省农村信用社联合社】客户服务热线：【0591-96336】；【福建省农村信用社联合社】门户网站：【www.fjnx.com.cn】。</w:t>
      </w:r>
    </w:p>
    <w:p>
      <w:pPr>
        <w:widowControl/>
        <w:jc w:val="left"/>
        <w:rPr>
          <w:rFonts w:ascii="宋体" w:hAnsi="宋体"/>
          <w:b/>
          <w:sz w:val="28"/>
          <w:szCs w:val="28"/>
        </w:rPr>
      </w:pPr>
      <w:r>
        <w:rPr>
          <w:rFonts w:ascii="宋体" w:hAnsi="宋体"/>
          <w:b/>
          <w:sz w:val="28"/>
          <w:szCs w:val="28"/>
        </w:rPr>
        <w:br w:type="page"/>
      </w:r>
    </w:p>
    <w:p>
      <w:pPr>
        <w:adjustRightInd w:val="0"/>
        <w:spacing w:line="280" w:lineRule="atLeast"/>
        <w:jc w:val="center"/>
        <w:rPr>
          <w:rStyle w:val="10"/>
          <w:rFonts w:ascii="黑体" w:hAnsi="黑体" w:eastAsia="黑体"/>
          <w:sz w:val="28"/>
          <w:szCs w:val="28"/>
        </w:rPr>
      </w:pPr>
      <w:r>
        <w:rPr>
          <w:rStyle w:val="10"/>
          <w:rFonts w:hint="eastAsia" w:ascii="黑体" w:hAnsi="黑体" w:eastAsia="黑体"/>
          <w:sz w:val="28"/>
          <w:szCs w:val="28"/>
        </w:rPr>
        <w:t>兴银理财</w:t>
      </w:r>
      <w:r>
        <w:rPr>
          <w:rFonts w:hint="eastAsia" w:ascii="黑体" w:hAnsi="黑体" w:eastAsia="黑体"/>
          <w:b/>
          <w:bCs/>
          <w:sz w:val="28"/>
          <w:szCs w:val="28"/>
        </w:rPr>
        <w:t>稳利安盈封闭式</w:t>
      </w:r>
      <w:r>
        <w:rPr>
          <w:rStyle w:val="10"/>
          <w:rFonts w:hint="eastAsia" w:ascii="黑体" w:hAnsi="黑体" w:eastAsia="黑体"/>
          <w:sz w:val="28"/>
          <w:szCs w:val="28"/>
        </w:rPr>
        <w:t>理财产品</w:t>
      </w:r>
    </w:p>
    <w:p>
      <w:pPr>
        <w:adjustRightInd w:val="0"/>
        <w:spacing w:line="280" w:lineRule="atLeast"/>
        <w:jc w:val="center"/>
        <w:rPr>
          <w:rStyle w:val="10"/>
          <w:rFonts w:ascii="黑体" w:hAnsi="黑体" w:eastAsia="黑体"/>
          <w:sz w:val="28"/>
          <w:szCs w:val="28"/>
        </w:rPr>
      </w:pPr>
      <w:r>
        <w:rPr>
          <w:rStyle w:val="10"/>
          <w:rFonts w:hint="eastAsia" w:ascii="黑体" w:hAnsi="黑体" w:eastAsia="黑体"/>
          <w:sz w:val="28"/>
          <w:szCs w:val="28"/>
        </w:rPr>
        <w:t>投资者权益须知</w:t>
      </w:r>
    </w:p>
    <w:p>
      <w:pPr>
        <w:pStyle w:val="14"/>
        <w:spacing w:line="280" w:lineRule="atLeast"/>
        <w:jc w:val="center"/>
        <w:rPr>
          <w:rFonts w:hAnsi="宋体"/>
          <w:b/>
          <w:color w:val="auto"/>
          <w:sz w:val="28"/>
          <w:szCs w:val="28"/>
        </w:rPr>
      </w:pPr>
      <w:r>
        <w:rPr>
          <w:rFonts w:hint="eastAsia" w:hAnsi="宋体"/>
          <w:b/>
          <w:color w:val="auto"/>
          <w:sz w:val="28"/>
          <w:szCs w:val="28"/>
        </w:rPr>
        <w:t>（适用于机构投资者：</w:t>
      </w:r>
      <w:r>
        <w:rPr>
          <w:rFonts w:hAnsi="宋体"/>
          <w:b/>
          <w:color w:val="auto"/>
          <w:sz w:val="28"/>
          <w:szCs w:val="28"/>
        </w:rPr>
        <w:t>一般机构客户</w:t>
      </w:r>
      <w:r>
        <w:rPr>
          <w:rFonts w:hint="eastAsia" w:hAnsi="宋体"/>
          <w:b/>
          <w:color w:val="auto"/>
          <w:sz w:val="28"/>
          <w:szCs w:val="28"/>
        </w:rPr>
        <w:t>）</w:t>
      </w:r>
    </w:p>
    <w:p>
      <w:pPr>
        <w:spacing w:line="280" w:lineRule="atLeast"/>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感谢您通过销售机构【】以(□ 直销：产品管理人销售/□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spacing w:line="280" w:lineRule="atLeast"/>
        <w:ind w:firstLine="360" w:firstLineChars="200"/>
        <w:rPr>
          <w:rFonts w:ascii="宋体" w:hAnsi="宋体"/>
          <w:sz w:val="18"/>
          <w:szCs w:val="18"/>
        </w:rPr>
      </w:pPr>
    </w:p>
    <w:p>
      <w:pPr>
        <w:spacing w:line="280" w:lineRule="atLeast"/>
        <w:ind w:firstLine="361" w:firstLineChars="200"/>
        <w:rPr>
          <w:rFonts w:ascii="宋体" w:hAnsi="宋体"/>
          <w:b/>
          <w:sz w:val="18"/>
          <w:szCs w:val="18"/>
        </w:rPr>
      </w:pPr>
      <w:r>
        <w:rPr>
          <w:rFonts w:hint="eastAsia" w:ascii="宋体" w:hAnsi="宋体"/>
          <w:b/>
          <w:sz w:val="18"/>
          <w:szCs w:val="18"/>
        </w:rPr>
        <w:t>一、理财产品购买流程</w:t>
      </w:r>
    </w:p>
    <w:p>
      <w:pPr>
        <w:spacing w:line="280" w:lineRule="atLeast"/>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spacing w:line="280" w:lineRule="atLeast"/>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r>
        <w:rPr>
          <w:rFonts w:hint="eastAsia" w:ascii="宋体" w:hAnsi="宋体"/>
          <w:sz w:val="18"/>
          <w:szCs w:val="18"/>
        </w:rPr>
        <w:t>若销售机构对您风险承受能力评估事宜另有安排的，以销售机构政策为准。</w:t>
      </w:r>
    </w:p>
    <w:p>
      <w:pPr>
        <w:spacing w:line="280" w:lineRule="atLeast"/>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ind w:firstLine="360" w:firstLineChars="200"/>
        <w:rPr>
          <w:rFonts w:ascii="宋体" w:hAnsi="宋体"/>
          <w:sz w:val="18"/>
          <w:szCs w:val="18"/>
        </w:rPr>
      </w:pPr>
      <w:r>
        <w:rPr>
          <w:rFonts w:hint="eastAsia" w:ascii="宋体" w:hAnsi="宋体"/>
          <w:sz w:val="18"/>
          <w:szCs w:val="18"/>
        </w:rPr>
        <w:t>（四）销售机构营业网点或电子银行（包括但不限于网上银行、电话银行和手机银行）均可办理理财产品的购买手续，具体以代销机构情况为准。若产品管理人根据产品风险等级和市场情况确定发售渠道的，代销机构将按产品管理人要求执行。</w:t>
      </w:r>
    </w:p>
    <w:p>
      <w:pPr>
        <w:spacing w:line="280" w:lineRule="atLeast"/>
        <w:ind w:firstLine="361" w:firstLineChars="200"/>
        <w:rPr>
          <w:rFonts w:ascii="宋体" w:hAnsi="宋体"/>
          <w:b/>
          <w:sz w:val="18"/>
          <w:szCs w:val="18"/>
        </w:rPr>
      </w:pPr>
      <w:r>
        <w:rPr>
          <w:rFonts w:hint="eastAsia" w:ascii="宋体" w:hAnsi="宋体"/>
          <w:b/>
          <w:sz w:val="18"/>
          <w:szCs w:val="18"/>
        </w:rPr>
        <w:t>二、投资者风险承受能力与产品风险评级</w:t>
      </w:r>
    </w:p>
    <w:p>
      <w:pPr>
        <w:spacing w:line="280" w:lineRule="atLeast"/>
        <w:ind w:firstLine="361" w:firstLineChars="200"/>
        <w:rPr>
          <w:rFonts w:ascii="宋体" w:hAnsi="宋体"/>
          <w:b/>
          <w:sz w:val="18"/>
          <w:szCs w:val="18"/>
        </w:rPr>
      </w:pPr>
      <w:r>
        <w:rPr>
          <w:rFonts w:hint="eastAsia" w:ascii="宋体" w:hAnsi="宋体"/>
          <w:b/>
          <w:sz w:val="18"/>
          <w:szCs w:val="18"/>
        </w:rPr>
        <w:t>（一）投资者风险承受能力评估说明</w:t>
      </w:r>
    </w:p>
    <w:p>
      <w:pPr>
        <w:spacing w:line="280" w:lineRule="atLeas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 xml:space="preserve"> </w:t>
      </w:r>
      <w:r>
        <w:rPr>
          <w:rFonts w:hint="eastAsia" w:ascii="宋体" w:hAnsi="宋体"/>
          <w:sz w:val="18"/>
          <w:szCs w:val="18"/>
        </w:rPr>
        <w:t>您购买理财产品前，应确保已完成风险承受能力评估且风险评估结果在有效期内。理财销售管理系统会记录投资者身份信息及风险评估结果信息。该评估结果有效期一年，并将作为评价您是否适合购买理财产品的重要因素。您可以通过销售机构</w:t>
      </w:r>
      <w:r>
        <w:rPr>
          <w:rFonts w:ascii="宋体" w:hAnsi="宋体"/>
          <w:sz w:val="18"/>
          <w:szCs w:val="18"/>
        </w:rPr>
        <w:t>线下渠道</w:t>
      </w:r>
      <w:r>
        <w:rPr>
          <w:rFonts w:hint="eastAsia" w:ascii="宋体" w:hAnsi="宋体"/>
          <w:sz w:val="18"/>
          <w:szCs w:val="18"/>
        </w:rPr>
        <w:t>或</w:t>
      </w:r>
      <w:r>
        <w:rPr>
          <w:rFonts w:ascii="宋体" w:hAnsi="宋体"/>
          <w:sz w:val="18"/>
          <w:szCs w:val="18"/>
        </w:rPr>
        <w:t>线上渠道</w:t>
      </w:r>
      <w:r>
        <w:rPr>
          <w:rFonts w:hint="eastAsia" w:ascii="宋体" w:hAnsi="宋体"/>
          <w:sz w:val="18"/>
          <w:szCs w:val="18"/>
        </w:rPr>
        <w:t>进行风险承受能力持续评估。</w:t>
      </w:r>
      <w:r>
        <w:rPr>
          <w:rFonts w:hint="eastAsia" w:ascii="宋体" w:hAnsi="宋体"/>
          <w:b/>
          <w:sz w:val="18"/>
          <w:szCs w:val="18"/>
        </w:rPr>
        <w:t>如影响您风险承受能力的因素发生变化，请您及时重新完成风险承受能力评估。</w:t>
      </w:r>
    </w:p>
    <w:p>
      <w:pPr>
        <w:ind w:firstLine="361" w:firstLineChars="200"/>
        <w:rPr>
          <w:rFonts w:ascii="宋体" w:hAnsi="宋体"/>
          <w:b/>
          <w:sz w:val="18"/>
          <w:szCs w:val="18"/>
        </w:rPr>
      </w:pPr>
      <w:r>
        <w:rPr>
          <w:rFonts w:ascii="宋体" w:hAnsi="宋体"/>
          <w:b/>
          <w:sz w:val="18"/>
          <w:szCs w:val="18"/>
        </w:rPr>
        <w:t>2</w:t>
      </w:r>
      <w:r>
        <w:rPr>
          <w:rFonts w:hint="eastAsia" w:ascii="宋体" w:hAnsi="宋体"/>
          <w:b/>
          <w:sz w:val="18"/>
          <w:szCs w:val="18"/>
        </w:rPr>
        <w:t>. 投资者风险承受能力评级与理财产品风险评级</w:t>
      </w:r>
    </w:p>
    <w:p>
      <w:pPr>
        <w:ind w:firstLine="360" w:firstLineChars="200"/>
        <w:rPr>
          <w:rFonts w:ascii="宋体" w:hAnsi="宋体"/>
          <w:sz w:val="18"/>
          <w:szCs w:val="18"/>
        </w:rPr>
      </w:pPr>
      <w:r>
        <w:rPr>
          <w:rFonts w:hint="eastAsia" w:ascii="宋体" w:hAnsi="宋体"/>
          <w:sz w:val="18"/>
          <w:szCs w:val="18"/>
        </w:rPr>
        <w:t>销售机构</w:t>
      </w:r>
      <w:r>
        <w:rPr>
          <w:rFonts w:ascii="宋体" w:hAnsi="宋体"/>
          <w:sz w:val="18"/>
          <w:szCs w:val="18"/>
        </w:rPr>
        <w:t>根据</w:t>
      </w:r>
      <w:r>
        <w:rPr>
          <w:rFonts w:hint="eastAsia" w:ascii="宋体" w:hAnsi="宋体"/>
          <w:sz w:val="18"/>
          <w:szCs w:val="18"/>
        </w:rPr>
        <w:t>投资者风险承受能力，机构投资者由低至高分为【】</w:t>
      </w:r>
      <w:r>
        <w:rPr>
          <w:rFonts w:ascii="宋体" w:hAnsi="宋体"/>
          <w:sz w:val="18"/>
          <w:szCs w:val="18"/>
        </w:rPr>
        <w:t>。其中，</w:t>
      </w:r>
      <w:r>
        <w:rPr>
          <w:rFonts w:hint="eastAsia" w:ascii="宋体" w:hAnsi="宋体"/>
          <w:sz w:val="18"/>
          <w:szCs w:val="18"/>
        </w:rPr>
        <w:t>【】</w:t>
      </w:r>
      <w:r>
        <w:rPr>
          <w:rFonts w:ascii="宋体" w:hAnsi="宋体"/>
          <w:sz w:val="18"/>
          <w:szCs w:val="18"/>
        </w:rPr>
        <w:t>为风险承受能力最低类别，</w:t>
      </w:r>
      <w:r>
        <w:rPr>
          <w:rFonts w:hint="eastAsia" w:ascii="宋体" w:hAnsi="宋体"/>
          <w:sz w:val="18"/>
          <w:szCs w:val="18"/>
        </w:rPr>
        <w:t>【】</w:t>
      </w:r>
      <w:r>
        <w:rPr>
          <w:rFonts w:ascii="宋体" w:hAnsi="宋体"/>
          <w:sz w:val="18"/>
          <w:szCs w:val="18"/>
        </w:rPr>
        <w:t>为风险承受能力最高类别。</w:t>
      </w:r>
      <w:r>
        <w:rPr>
          <w:rFonts w:hint="eastAsia" w:ascii="宋体" w:hAnsi="宋体"/>
          <w:sz w:val="18"/>
          <w:szCs w:val="18"/>
        </w:rPr>
        <w:t>投资者根据其风险承受能力评级购买对应的理财产品。</w:t>
      </w:r>
      <w:r>
        <w:rPr>
          <w:rFonts w:ascii="宋体" w:hAnsi="宋体"/>
          <w:sz w:val="18"/>
          <w:szCs w:val="18"/>
        </w:rPr>
        <w:t>投资者风险承受能力评级类型与适合购买的理财产品的对应关系为：</w:t>
      </w:r>
    </w:p>
    <w:tbl>
      <w:tblPr>
        <w:tblStyle w:val="7"/>
        <w:tblW w:w="848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77"/>
        <w:gridCol w:w="4840"/>
        <w:gridCol w:w="286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61" w:hRule="atLeast"/>
          <w:jc w:val="center"/>
        </w:trPr>
        <w:tc>
          <w:tcPr>
            <w:tcW w:w="5617" w:type="dxa"/>
            <w:gridSpan w:val="2"/>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理财产品风险评级及风险评级说明</w:t>
            </w:r>
          </w:p>
        </w:tc>
        <w:tc>
          <w:tcPr>
            <w:tcW w:w="2865" w:type="dxa"/>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对应的投资者风险承受能力评级</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bl>
    <w:p>
      <w:pPr>
        <w:ind w:firstLine="360" w:firstLineChars="200"/>
        <w:rPr>
          <w:rFonts w:ascii="黑体" w:hAnsi="黑体" w:eastAsia="黑体"/>
          <w:sz w:val="18"/>
          <w:szCs w:val="18"/>
        </w:rPr>
      </w:pPr>
      <w:r>
        <w:rPr>
          <w:rFonts w:hint="eastAsia" w:ascii="黑体" w:hAnsi="黑体" w:eastAsia="黑体" w:cs="仿宋_GB2312"/>
          <w:bCs/>
          <w:kern w:val="0"/>
          <w:sz w:val="18"/>
          <w:szCs w:val="18"/>
        </w:rPr>
        <w:t>★</w:t>
      </w:r>
      <w:r>
        <w:rPr>
          <w:rFonts w:hint="eastAsia" w:ascii="黑体" w:hAnsi="黑体" w:eastAsia="黑体"/>
          <w:sz w:val="18"/>
          <w:szCs w:val="18"/>
        </w:rPr>
        <w:t>（二）针对“理财产品风险评级”、 “投资者风险承受能力”、“适合投资者类型”的不同划分与表述的特别提示</w:t>
      </w:r>
    </w:p>
    <w:p>
      <w:pPr>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w:t>
      </w:r>
      <w:r>
        <w:rPr>
          <w:rFonts w:hint="eastAsia" w:ascii="黑体" w:hAnsi="黑体" w:eastAsia="黑体"/>
          <w:sz w:val="18"/>
          <w:szCs w:val="18"/>
        </w:rPr>
        <w:t>销售机构在销售本产品时，其对“理财产品风险评级”、“投资者风险承受能力”、“适合投资者类型”等级的划分与表述可能与产品管理人存在差异，即采用销售机构设置的标准。</w:t>
      </w:r>
    </w:p>
    <w:p>
      <w:pPr>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销售机构应以书面的方式向投资者明示其对“理财产品风险评级”、“投资者风险承受能力等级”的划分与“适合投资者类型”的表述。</w:t>
      </w:r>
    </w:p>
    <w:p>
      <w:pPr>
        <w:spacing w:line="280" w:lineRule="atLeast"/>
        <w:ind w:firstLine="361" w:firstLineChars="200"/>
        <w:rPr>
          <w:rFonts w:ascii="宋体" w:hAnsi="宋体"/>
          <w:b/>
          <w:sz w:val="18"/>
          <w:szCs w:val="18"/>
        </w:rPr>
      </w:pPr>
      <w:r>
        <w:rPr>
          <w:rFonts w:hint="eastAsia" w:ascii="宋体" w:hAnsi="宋体"/>
          <w:b/>
          <w:sz w:val="18"/>
          <w:szCs w:val="18"/>
        </w:rPr>
        <w:t>三、关于理财产品的信息披露</w:t>
      </w:r>
    </w:p>
    <w:p>
      <w:pPr>
        <w:ind w:firstLine="360" w:firstLineChars="200"/>
        <w:rPr>
          <w:rFonts w:asciiTheme="minorEastAsia" w:hAnsiTheme="minorEastAsia"/>
          <w:sz w:val="18"/>
          <w:szCs w:val="18"/>
        </w:rPr>
      </w:pPr>
      <w:r>
        <w:rPr>
          <w:rFonts w:hint="eastAsia" w:ascii="宋体" w:hAnsi="宋体"/>
          <w:bCs/>
          <w:sz w:val="18"/>
          <w:szCs w:val="18"/>
        </w:rPr>
        <w:t>理财产品的信息披露将通过产品管理人或销售机构的门户网站、电子销售渠道或营业网点等进行。</w:t>
      </w:r>
      <w:r>
        <w:rPr>
          <w:rFonts w:asciiTheme="minorEastAsia" w:hAnsiTheme="minorEastAsia"/>
          <w:sz w:val="18"/>
          <w:szCs w:val="18"/>
        </w:rPr>
        <w:t>具体</w:t>
      </w:r>
      <w:r>
        <w:rPr>
          <w:rFonts w:hint="eastAsia" w:asciiTheme="minorEastAsia" w:hAnsiTheme="minorEastAsia"/>
          <w:sz w:val="18"/>
          <w:szCs w:val="18"/>
        </w:rPr>
        <w:t>信息披露的方式、渠道和频率等</w:t>
      </w:r>
      <w:r>
        <w:rPr>
          <w:rFonts w:asciiTheme="minorEastAsia" w:hAnsiTheme="minorEastAsia"/>
          <w:sz w:val="18"/>
          <w:szCs w:val="18"/>
        </w:rPr>
        <w:t>以《产品说明书》中“信息披露</w:t>
      </w:r>
      <w:r>
        <w:rPr>
          <w:rFonts w:hint="eastAsia" w:asciiTheme="minorEastAsia" w:hAnsiTheme="minorEastAsia"/>
          <w:sz w:val="18"/>
          <w:szCs w:val="18"/>
        </w:rPr>
        <w:t>”约定为准。</w:t>
      </w:r>
    </w:p>
    <w:p>
      <w:pPr>
        <w:spacing w:line="280" w:lineRule="atLeast"/>
        <w:ind w:firstLine="361" w:firstLineChars="200"/>
        <w:rPr>
          <w:rFonts w:asciiTheme="minorEastAsia" w:hAnsiTheme="minorEastAsia"/>
          <w:sz w:val="18"/>
          <w:szCs w:val="18"/>
        </w:rPr>
      </w:pPr>
      <w:r>
        <w:rPr>
          <w:rFonts w:hint="eastAsia" w:ascii="宋体" w:hAnsi="宋体"/>
          <w:b/>
          <w:sz w:val="18"/>
          <w:szCs w:val="18"/>
        </w:rPr>
        <w:t>四、关于投诉与建议</w:t>
      </w:r>
    </w:p>
    <w:p>
      <w:pPr>
        <w:spacing w:line="280" w:lineRule="atLeast"/>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spacing w:line="280" w:lineRule="atLeast"/>
        <w:ind w:firstLine="360" w:firstLineChars="200"/>
        <w:rPr>
          <w:rFonts w:ascii="宋体" w:hAnsi="宋体"/>
          <w:sz w:val="18"/>
          <w:szCs w:val="18"/>
        </w:rPr>
      </w:pPr>
      <w:r>
        <w:rPr>
          <w:rFonts w:hint="eastAsia" w:ascii="宋体" w:hAnsi="宋体"/>
          <w:sz w:val="18"/>
          <w:szCs w:val="18"/>
        </w:rPr>
        <w:t>（二）联络方式：</w:t>
      </w:r>
    </w:p>
    <w:p>
      <w:pPr>
        <w:ind w:firstLine="360" w:firstLineChars="200"/>
        <w:rPr>
          <w:rFonts w:ascii="宋体" w:hAnsi="宋体"/>
          <w:sz w:val="18"/>
          <w:szCs w:val="18"/>
        </w:rPr>
      </w:pPr>
      <w:r>
        <w:rPr>
          <w:rFonts w:hint="eastAsia" w:ascii="宋体" w:hAnsi="宋体"/>
          <w:sz w:val="18"/>
          <w:szCs w:val="18"/>
        </w:rPr>
        <w:t>1、产品管理人：兴银理财有限责任公司</w:t>
      </w:r>
    </w:p>
    <w:p>
      <w:pPr>
        <w:ind w:firstLine="360" w:firstLineChars="200"/>
        <w:rPr>
          <w:rFonts w:ascii="宋体" w:hAnsi="宋体"/>
          <w:sz w:val="18"/>
          <w:szCs w:val="18"/>
        </w:rPr>
      </w:pPr>
      <w:r>
        <w:rPr>
          <w:rFonts w:hint="eastAsia" w:ascii="宋体" w:hAnsi="宋体"/>
          <w:sz w:val="18"/>
          <w:szCs w:val="18"/>
        </w:rPr>
        <w:t>客户服务热线：40015-95561。</w:t>
      </w:r>
    </w:p>
    <w:p>
      <w:pPr>
        <w:spacing w:line="280" w:lineRule="atLeast"/>
        <w:ind w:firstLine="360" w:firstLineChars="200"/>
        <w:rPr>
          <w:rFonts w:ascii="宋体" w:hAnsi="宋体"/>
          <w:sz w:val="18"/>
          <w:szCs w:val="18"/>
        </w:rPr>
      </w:pPr>
      <w:r>
        <w:rPr>
          <w:rFonts w:hint="eastAsia" w:ascii="宋体" w:hAnsi="宋体"/>
          <w:sz w:val="18"/>
          <w:szCs w:val="18"/>
        </w:rPr>
        <w:t>2、</w:t>
      </w:r>
      <w:r>
        <w:rPr>
          <w:rFonts w:ascii="宋体" w:hAnsi="宋体"/>
          <w:sz w:val="18"/>
          <w:szCs w:val="18"/>
        </w:rPr>
        <w:t>销售机构</w:t>
      </w:r>
      <w:r>
        <w:rPr>
          <w:rFonts w:hint="eastAsia" w:ascii="宋体" w:hAnsi="宋体"/>
          <w:sz w:val="18"/>
          <w:szCs w:val="18"/>
        </w:rPr>
        <w:t>：兴业银行股份有限公司</w:t>
      </w:r>
    </w:p>
    <w:p>
      <w:pPr>
        <w:spacing w:line="280" w:lineRule="atLeast"/>
        <w:ind w:firstLine="360" w:firstLineChars="200"/>
        <w:rPr>
          <w:rFonts w:ascii="宋体" w:hAnsi="宋体"/>
          <w:sz w:val="18"/>
          <w:szCs w:val="18"/>
        </w:rPr>
      </w:pPr>
      <w:r>
        <w:rPr>
          <w:rFonts w:hint="eastAsia" w:ascii="宋体" w:hAnsi="宋体"/>
          <w:sz w:val="18"/>
          <w:szCs w:val="18"/>
        </w:rPr>
        <w:t>兴业银行理财经理或兴业银行各营业网点。</w:t>
      </w:r>
    </w:p>
    <w:p>
      <w:pPr>
        <w:spacing w:line="280" w:lineRule="atLeast"/>
        <w:ind w:firstLine="360" w:firstLineChars="200"/>
        <w:rPr>
          <w:rFonts w:ascii="宋体" w:hAnsi="宋体"/>
          <w:sz w:val="18"/>
          <w:szCs w:val="18"/>
        </w:rPr>
      </w:pPr>
      <w:r>
        <w:rPr>
          <w:rFonts w:ascii="宋体" w:hAnsi="宋体"/>
          <w:sz w:val="18"/>
          <w:szCs w:val="18"/>
        </w:rPr>
        <w:t>兴业银行</w:t>
      </w:r>
      <w:r>
        <w:rPr>
          <w:rFonts w:hint="eastAsia" w:ascii="宋体" w:hAnsi="宋体"/>
          <w:sz w:val="18"/>
          <w:szCs w:val="18"/>
        </w:rPr>
        <w:t>客户投诉电话：【</w:t>
      </w:r>
      <w:r>
        <w:rPr>
          <w:rFonts w:asciiTheme="minorEastAsia" w:hAnsiTheme="minorEastAsia"/>
          <w:sz w:val="18"/>
          <w:szCs w:val="18"/>
        </w:rPr>
        <w:t>95561</w:t>
      </w:r>
      <w:r>
        <w:rPr>
          <w:rFonts w:hint="eastAsia" w:ascii="宋体" w:hAnsi="宋体"/>
          <w:sz w:val="18"/>
          <w:szCs w:val="18"/>
        </w:rPr>
        <w:t>】。</w:t>
      </w:r>
    </w:p>
    <w:p>
      <w:pPr>
        <w:spacing w:line="280" w:lineRule="atLeast"/>
        <w:ind w:firstLine="360" w:firstLineChars="200"/>
        <w:rPr>
          <w:rFonts w:ascii="宋体" w:hAnsi="宋体"/>
          <w:sz w:val="18"/>
          <w:szCs w:val="18"/>
        </w:rPr>
      </w:pPr>
      <w:r>
        <w:rPr>
          <w:rFonts w:hint="eastAsia" w:ascii="宋体" w:hAnsi="宋体"/>
          <w:sz w:val="18"/>
          <w:szCs w:val="18"/>
        </w:rPr>
        <w:t>兴业银行总行消费者投诉受理邮箱：【9</w:t>
      </w:r>
      <w:r>
        <w:rPr>
          <w:rFonts w:ascii="宋体" w:hAnsi="宋体"/>
          <w:sz w:val="18"/>
          <w:szCs w:val="18"/>
        </w:rPr>
        <w:t>5561</w:t>
      </w:r>
      <w:r>
        <w:rPr>
          <w:rFonts w:hint="eastAsia" w:ascii="宋体" w:hAnsi="宋体"/>
          <w:sz w:val="18"/>
          <w:szCs w:val="18"/>
        </w:rPr>
        <w:t>@</w:t>
      </w:r>
      <w:r>
        <w:rPr>
          <w:rFonts w:asciiTheme="minorEastAsia" w:hAnsiTheme="minorEastAsia"/>
          <w:sz w:val="18"/>
          <w:szCs w:val="18"/>
        </w:rPr>
        <w:t>cib.com.cn</w:t>
      </w:r>
      <w:r>
        <w:rPr>
          <w:rFonts w:hint="eastAsia" w:ascii="宋体" w:hAnsi="宋体"/>
          <w:sz w:val="18"/>
          <w:szCs w:val="18"/>
        </w:rPr>
        <w:t>】。</w:t>
      </w:r>
    </w:p>
    <w:p>
      <w:pPr>
        <w:ind w:firstLine="360" w:firstLineChars="200"/>
        <w:rPr>
          <w:rFonts w:ascii="宋体" w:hAnsi="宋体"/>
          <w:sz w:val="18"/>
          <w:szCs w:val="18"/>
        </w:rPr>
      </w:pPr>
      <w:r>
        <w:rPr>
          <w:rFonts w:hint="eastAsia" w:ascii="宋体" w:hAnsi="宋体"/>
          <w:sz w:val="18"/>
          <w:szCs w:val="18"/>
        </w:rPr>
        <w:t>3、销售机构：【/】</w:t>
      </w:r>
    </w:p>
    <w:p>
      <w:pPr>
        <w:ind w:firstLine="360" w:firstLineChars="200"/>
        <w:rPr>
          <w:rFonts w:ascii="宋体" w:hAnsi="宋体"/>
          <w:sz w:val="18"/>
          <w:szCs w:val="18"/>
        </w:rPr>
      </w:pPr>
      <w:r>
        <w:rPr>
          <w:rFonts w:hint="eastAsia" w:ascii="宋体" w:hAnsi="宋体"/>
          <w:sz w:val="18"/>
          <w:szCs w:val="18"/>
        </w:rPr>
        <w:t>【/】</w:t>
      </w:r>
    </w:p>
    <w:p>
      <w:pPr>
        <w:widowControl/>
        <w:spacing w:line="280" w:lineRule="atLeast"/>
        <w:jc w:val="left"/>
        <w:rPr>
          <w:rFonts w:ascii="宋体" w:hAnsi="宋体"/>
          <w:b/>
          <w:sz w:val="28"/>
          <w:szCs w:val="28"/>
        </w:rPr>
      </w:pPr>
      <w:r>
        <w:rPr>
          <w:rFonts w:ascii="宋体" w:hAnsi="宋体"/>
          <w:b/>
          <w:sz w:val="28"/>
          <w:szCs w:val="28"/>
        </w:rPr>
        <w:br w:type="page"/>
      </w:r>
    </w:p>
    <w:p>
      <w:pPr>
        <w:adjustRightInd w:val="0"/>
        <w:spacing w:line="276" w:lineRule="auto"/>
        <w:jc w:val="center"/>
        <w:rPr>
          <w:rStyle w:val="10"/>
          <w:rFonts w:ascii="黑体" w:hAnsi="黑体" w:eastAsia="黑体"/>
          <w:sz w:val="28"/>
          <w:szCs w:val="28"/>
        </w:rPr>
      </w:pPr>
      <w:r>
        <w:rPr>
          <w:rStyle w:val="10"/>
          <w:rFonts w:hint="eastAsia" w:ascii="黑体" w:hAnsi="黑体" w:eastAsia="黑体"/>
          <w:sz w:val="28"/>
          <w:szCs w:val="28"/>
        </w:rPr>
        <w:t>兴银理财</w:t>
      </w:r>
      <w:r>
        <w:rPr>
          <w:rFonts w:hint="eastAsia" w:ascii="黑体" w:hAnsi="黑体" w:eastAsia="黑体"/>
          <w:b/>
          <w:bCs/>
          <w:sz w:val="28"/>
          <w:szCs w:val="28"/>
        </w:rPr>
        <w:t>稳利安盈封闭式</w:t>
      </w:r>
      <w:r>
        <w:rPr>
          <w:rStyle w:val="10"/>
          <w:rFonts w:hint="eastAsia" w:ascii="黑体" w:hAnsi="黑体" w:eastAsia="黑体"/>
          <w:sz w:val="28"/>
          <w:szCs w:val="28"/>
        </w:rPr>
        <w:t>理财产品</w:t>
      </w:r>
    </w:p>
    <w:p>
      <w:pPr>
        <w:adjustRightInd w:val="0"/>
        <w:spacing w:line="276" w:lineRule="auto"/>
        <w:jc w:val="center"/>
        <w:rPr>
          <w:rStyle w:val="10"/>
          <w:rFonts w:ascii="黑体" w:hAnsi="黑体" w:eastAsia="黑体"/>
          <w:sz w:val="28"/>
          <w:szCs w:val="28"/>
        </w:rPr>
      </w:pPr>
      <w:r>
        <w:rPr>
          <w:rStyle w:val="10"/>
          <w:rFonts w:hint="eastAsia" w:ascii="黑体" w:hAnsi="黑体" w:eastAsia="黑体"/>
          <w:sz w:val="28"/>
          <w:szCs w:val="28"/>
        </w:rPr>
        <w:t>投资者权益须知</w:t>
      </w:r>
    </w:p>
    <w:p>
      <w:pPr>
        <w:pStyle w:val="14"/>
        <w:jc w:val="center"/>
        <w:rPr>
          <w:rFonts w:hAnsi="宋体"/>
          <w:b/>
          <w:color w:val="auto"/>
          <w:sz w:val="28"/>
          <w:szCs w:val="28"/>
        </w:rPr>
      </w:pPr>
      <w:r>
        <w:rPr>
          <w:rFonts w:hint="eastAsia" w:hAnsi="宋体"/>
          <w:b/>
          <w:color w:val="auto"/>
          <w:sz w:val="28"/>
          <w:szCs w:val="28"/>
        </w:rPr>
        <w:t>（适用于机构投资者：金融</w:t>
      </w:r>
      <w:r>
        <w:rPr>
          <w:rFonts w:hAnsi="宋体"/>
          <w:b/>
          <w:color w:val="auto"/>
          <w:sz w:val="28"/>
          <w:szCs w:val="28"/>
        </w:rPr>
        <w:t>同业客户</w:t>
      </w:r>
      <w:r>
        <w:rPr>
          <w:rFonts w:hint="eastAsia" w:hAnsi="宋体"/>
          <w:b/>
          <w:color w:val="auto"/>
          <w:sz w:val="28"/>
          <w:szCs w:val="28"/>
        </w:rPr>
        <w:t>）</w:t>
      </w:r>
    </w:p>
    <w:p>
      <w:pPr>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感谢您通过销售机构【】以(□ 直销：产品管理人销售/□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ind w:firstLine="361" w:firstLineChars="200"/>
        <w:rPr>
          <w:rFonts w:ascii="宋体" w:hAnsi="宋体"/>
          <w:b/>
          <w:sz w:val="18"/>
          <w:szCs w:val="18"/>
        </w:rPr>
      </w:pPr>
    </w:p>
    <w:p>
      <w:pPr>
        <w:ind w:firstLine="361" w:firstLineChars="200"/>
        <w:rPr>
          <w:rFonts w:ascii="宋体" w:hAnsi="宋体"/>
          <w:b/>
          <w:sz w:val="18"/>
          <w:szCs w:val="18"/>
        </w:rPr>
      </w:pPr>
      <w:r>
        <w:rPr>
          <w:rFonts w:hint="eastAsia" w:ascii="宋体" w:hAnsi="宋体"/>
          <w:b/>
          <w:sz w:val="18"/>
          <w:szCs w:val="18"/>
        </w:rPr>
        <w:t>一、理财产品购买流程</w:t>
      </w:r>
    </w:p>
    <w:p>
      <w:pPr>
        <w:spacing w:line="280" w:lineRule="atLeast"/>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spacing w:line="280" w:lineRule="atLeast"/>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r>
        <w:rPr>
          <w:rFonts w:hint="eastAsia" w:ascii="宋体" w:hAnsi="宋体"/>
          <w:sz w:val="18"/>
          <w:szCs w:val="18"/>
        </w:rPr>
        <w:t>若销售机构对您风险承受能力评估事宜另有安排的，以销售机构政策为准。</w:t>
      </w:r>
    </w:p>
    <w:p>
      <w:pPr>
        <w:spacing w:line="280" w:lineRule="atLeast"/>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ind w:firstLine="360" w:firstLineChars="200"/>
        <w:rPr>
          <w:rFonts w:ascii="宋体" w:hAnsi="宋体"/>
          <w:sz w:val="18"/>
          <w:szCs w:val="18"/>
        </w:rPr>
      </w:pPr>
      <w:r>
        <w:rPr>
          <w:rFonts w:hint="eastAsia" w:ascii="宋体" w:hAnsi="宋体"/>
          <w:sz w:val="18"/>
          <w:szCs w:val="18"/>
        </w:rPr>
        <w:t>（四）销售机构营业网点或电子银行（包括但不限于网上银行、电话银行和手机银行）均可办理理财产品的购买手续，具体以代销机构情况为准。若产品管理人根据产品风险等级和市场情况确定发售渠道的，代销机构将按产品管理人要求执行。</w:t>
      </w:r>
    </w:p>
    <w:p>
      <w:pPr>
        <w:spacing w:line="280" w:lineRule="atLeast"/>
        <w:ind w:firstLine="361" w:firstLineChars="200"/>
        <w:rPr>
          <w:rFonts w:ascii="宋体" w:hAnsi="宋体"/>
          <w:b/>
          <w:sz w:val="18"/>
          <w:szCs w:val="18"/>
        </w:rPr>
      </w:pPr>
      <w:r>
        <w:rPr>
          <w:rFonts w:hint="eastAsia" w:ascii="宋体" w:hAnsi="宋体"/>
          <w:b/>
          <w:sz w:val="18"/>
          <w:szCs w:val="18"/>
        </w:rPr>
        <w:t>二、投资者风险承受能力与产品风险评级</w:t>
      </w:r>
    </w:p>
    <w:p>
      <w:pPr>
        <w:spacing w:line="280" w:lineRule="atLeast"/>
        <w:ind w:firstLine="360" w:firstLineChars="200"/>
        <w:rPr>
          <w:rFonts w:ascii="宋体" w:hAnsi="宋体"/>
          <w:sz w:val="18"/>
          <w:szCs w:val="18"/>
        </w:rPr>
      </w:pPr>
      <w:r>
        <w:rPr>
          <w:rFonts w:hint="eastAsia" w:ascii="宋体" w:hAnsi="宋体"/>
          <w:sz w:val="18"/>
          <w:szCs w:val="18"/>
        </w:rPr>
        <w:t>鉴于您为金融同业客户，销售机构暂不对您进行风险承受能力评估，请您根据您自身的</w:t>
      </w:r>
      <w:r>
        <w:rPr>
          <w:rFonts w:ascii="宋体" w:hAnsi="宋体"/>
          <w:sz w:val="18"/>
          <w:szCs w:val="18"/>
        </w:rPr>
        <w:t>风险承受能力购买</w:t>
      </w:r>
      <w:r>
        <w:rPr>
          <w:rFonts w:hint="eastAsia" w:ascii="宋体" w:hAnsi="宋体"/>
          <w:sz w:val="18"/>
          <w:szCs w:val="18"/>
        </w:rPr>
        <w:t>产品风险评级适合您的</w:t>
      </w:r>
      <w:r>
        <w:rPr>
          <w:rFonts w:ascii="宋体" w:hAnsi="宋体"/>
          <w:sz w:val="18"/>
          <w:szCs w:val="18"/>
        </w:rPr>
        <w:t>理财产品</w:t>
      </w:r>
      <w:r>
        <w:rPr>
          <w:rFonts w:hint="eastAsia" w:ascii="宋体" w:hAnsi="宋体"/>
          <w:sz w:val="18"/>
          <w:szCs w:val="18"/>
        </w:rPr>
        <w:t>。</w:t>
      </w:r>
    </w:p>
    <w:p>
      <w:pPr>
        <w:ind w:firstLine="361" w:firstLineChars="200"/>
        <w:rPr>
          <w:rFonts w:ascii="宋体" w:hAnsi="宋体"/>
          <w:b/>
          <w:sz w:val="18"/>
          <w:szCs w:val="18"/>
        </w:rPr>
      </w:pPr>
      <w:r>
        <w:rPr>
          <w:rFonts w:hint="eastAsia" w:ascii="宋体" w:hAnsi="宋体"/>
          <w:b/>
          <w:sz w:val="18"/>
          <w:szCs w:val="18"/>
        </w:rPr>
        <w:t>三、关于理财产品的信息披露</w:t>
      </w:r>
    </w:p>
    <w:p>
      <w:pPr>
        <w:ind w:firstLine="360" w:firstLineChars="200"/>
        <w:rPr>
          <w:rFonts w:asciiTheme="minorEastAsia" w:hAnsiTheme="minorEastAsia"/>
          <w:sz w:val="18"/>
          <w:szCs w:val="18"/>
        </w:rPr>
      </w:pPr>
      <w:r>
        <w:rPr>
          <w:rFonts w:hint="eastAsia" w:ascii="宋体" w:hAnsi="宋体"/>
          <w:bCs/>
          <w:sz w:val="18"/>
          <w:szCs w:val="18"/>
        </w:rPr>
        <w:t>理财产品的信息披露将通过产品管理人或销售机构的门户网站、电子销售渠道或营业网点等进行。</w:t>
      </w:r>
      <w:r>
        <w:rPr>
          <w:rFonts w:asciiTheme="minorEastAsia" w:hAnsiTheme="minorEastAsia"/>
          <w:sz w:val="18"/>
          <w:szCs w:val="18"/>
        </w:rPr>
        <w:t>具体</w:t>
      </w:r>
      <w:r>
        <w:rPr>
          <w:rFonts w:hint="eastAsia" w:asciiTheme="minorEastAsia" w:hAnsiTheme="minorEastAsia"/>
          <w:sz w:val="18"/>
          <w:szCs w:val="18"/>
        </w:rPr>
        <w:t>信息披露的方式、渠道和频率等</w:t>
      </w:r>
      <w:r>
        <w:rPr>
          <w:rFonts w:asciiTheme="minorEastAsia" w:hAnsiTheme="minorEastAsia"/>
          <w:sz w:val="18"/>
          <w:szCs w:val="18"/>
        </w:rPr>
        <w:t>以《产品说明书》中“信息披露</w:t>
      </w:r>
      <w:r>
        <w:rPr>
          <w:rFonts w:hint="eastAsia" w:asciiTheme="minorEastAsia" w:hAnsiTheme="minorEastAsia"/>
          <w:sz w:val="18"/>
          <w:szCs w:val="18"/>
        </w:rPr>
        <w:t>”约定为准。</w:t>
      </w:r>
    </w:p>
    <w:p>
      <w:pPr>
        <w:ind w:firstLine="361" w:firstLineChars="200"/>
        <w:rPr>
          <w:rFonts w:asciiTheme="minorEastAsia" w:hAnsiTheme="minorEastAsia"/>
          <w:b/>
          <w:bCs/>
          <w:sz w:val="18"/>
          <w:szCs w:val="18"/>
        </w:rPr>
      </w:pPr>
      <w:r>
        <w:rPr>
          <w:rFonts w:hint="eastAsia" w:ascii="宋体" w:hAnsi="宋体"/>
          <w:b/>
          <w:bCs/>
          <w:sz w:val="18"/>
          <w:szCs w:val="18"/>
        </w:rPr>
        <w:t>四、关于投诉与建议</w:t>
      </w:r>
    </w:p>
    <w:p>
      <w:pPr>
        <w:spacing w:line="280" w:lineRule="atLeast"/>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spacing w:line="280" w:lineRule="atLeast"/>
        <w:ind w:firstLine="360" w:firstLineChars="200"/>
        <w:rPr>
          <w:rFonts w:ascii="宋体" w:hAnsi="宋体"/>
          <w:sz w:val="18"/>
          <w:szCs w:val="18"/>
        </w:rPr>
      </w:pPr>
      <w:r>
        <w:rPr>
          <w:rFonts w:hint="eastAsia" w:ascii="宋体" w:hAnsi="宋体"/>
          <w:sz w:val="18"/>
          <w:szCs w:val="18"/>
        </w:rPr>
        <w:t>（二）联络方式：</w:t>
      </w:r>
    </w:p>
    <w:p>
      <w:pPr>
        <w:ind w:firstLine="360" w:firstLineChars="200"/>
        <w:rPr>
          <w:rFonts w:ascii="宋体" w:hAnsi="宋体"/>
          <w:sz w:val="18"/>
          <w:szCs w:val="18"/>
        </w:rPr>
      </w:pPr>
      <w:r>
        <w:rPr>
          <w:rFonts w:hint="eastAsia" w:ascii="宋体" w:hAnsi="宋体"/>
          <w:sz w:val="18"/>
          <w:szCs w:val="18"/>
        </w:rPr>
        <w:t>1、产品管理人：兴银理财有限责任公司</w:t>
      </w:r>
    </w:p>
    <w:p>
      <w:pPr>
        <w:ind w:firstLine="360" w:firstLineChars="200"/>
        <w:rPr>
          <w:rFonts w:ascii="宋体" w:hAnsi="宋体"/>
          <w:sz w:val="18"/>
          <w:szCs w:val="18"/>
        </w:rPr>
      </w:pPr>
      <w:r>
        <w:rPr>
          <w:rFonts w:hint="eastAsia" w:ascii="宋体" w:hAnsi="宋体"/>
          <w:sz w:val="18"/>
          <w:szCs w:val="18"/>
        </w:rPr>
        <w:t>客户服务热线：40015-95561。</w:t>
      </w:r>
    </w:p>
    <w:p>
      <w:pPr>
        <w:spacing w:line="280" w:lineRule="atLeast"/>
        <w:ind w:firstLine="360" w:firstLineChars="200"/>
        <w:rPr>
          <w:rFonts w:ascii="宋体" w:hAnsi="宋体"/>
          <w:sz w:val="18"/>
          <w:szCs w:val="18"/>
        </w:rPr>
      </w:pPr>
      <w:r>
        <w:rPr>
          <w:rFonts w:hint="eastAsia" w:ascii="宋体" w:hAnsi="宋体"/>
          <w:sz w:val="18"/>
          <w:szCs w:val="18"/>
        </w:rPr>
        <w:t>2、</w:t>
      </w:r>
      <w:r>
        <w:rPr>
          <w:rFonts w:ascii="宋体" w:hAnsi="宋体"/>
          <w:sz w:val="18"/>
          <w:szCs w:val="18"/>
        </w:rPr>
        <w:t>销售机构</w:t>
      </w:r>
      <w:r>
        <w:rPr>
          <w:rFonts w:hint="eastAsia" w:ascii="宋体" w:hAnsi="宋体"/>
          <w:sz w:val="18"/>
          <w:szCs w:val="18"/>
        </w:rPr>
        <w:t>：兴业银行股份有限公司</w:t>
      </w:r>
    </w:p>
    <w:p>
      <w:pPr>
        <w:spacing w:line="280" w:lineRule="atLeast"/>
        <w:ind w:firstLine="360" w:firstLineChars="200"/>
        <w:rPr>
          <w:rFonts w:ascii="宋体" w:hAnsi="宋体"/>
          <w:sz w:val="18"/>
          <w:szCs w:val="18"/>
        </w:rPr>
      </w:pPr>
      <w:r>
        <w:rPr>
          <w:rFonts w:hint="eastAsia" w:ascii="宋体" w:hAnsi="宋体"/>
          <w:sz w:val="18"/>
          <w:szCs w:val="18"/>
        </w:rPr>
        <w:t>兴业银行理财经理或兴业银行各营业网点。</w:t>
      </w:r>
    </w:p>
    <w:p>
      <w:pPr>
        <w:spacing w:line="280" w:lineRule="atLeast"/>
        <w:ind w:firstLine="360" w:firstLineChars="200"/>
        <w:rPr>
          <w:rFonts w:ascii="宋体" w:hAnsi="宋体"/>
          <w:sz w:val="18"/>
          <w:szCs w:val="18"/>
        </w:rPr>
      </w:pPr>
      <w:r>
        <w:rPr>
          <w:rFonts w:ascii="宋体" w:hAnsi="宋体"/>
          <w:sz w:val="18"/>
          <w:szCs w:val="18"/>
        </w:rPr>
        <w:t>兴业银行</w:t>
      </w:r>
      <w:r>
        <w:rPr>
          <w:rFonts w:hint="eastAsia" w:ascii="宋体" w:hAnsi="宋体"/>
          <w:sz w:val="18"/>
          <w:szCs w:val="18"/>
        </w:rPr>
        <w:t>客户投诉电话：【</w:t>
      </w:r>
      <w:r>
        <w:rPr>
          <w:rFonts w:asciiTheme="minorEastAsia" w:hAnsiTheme="minorEastAsia"/>
          <w:sz w:val="18"/>
          <w:szCs w:val="18"/>
        </w:rPr>
        <w:t>95561</w:t>
      </w:r>
      <w:r>
        <w:rPr>
          <w:rFonts w:hint="eastAsia" w:ascii="宋体" w:hAnsi="宋体"/>
          <w:sz w:val="18"/>
          <w:szCs w:val="18"/>
        </w:rPr>
        <w:t>】。</w:t>
      </w:r>
    </w:p>
    <w:p>
      <w:pPr>
        <w:spacing w:line="280" w:lineRule="atLeast"/>
        <w:ind w:firstLine="360" w:firstLineChars="200"/>
        <w:rPr>
          <w:rFonts w:ascii="宋体" w:hAnsi="宋体"/>
          <w:sz w:val="18"/>
          <w:szCs w:val="18"/>
        </w:rPr>
      </w:pPr>
      <w:r>
        <w:rPr>
          <w:rFonts w:hint="eastAsia" w:ascii="宋体" w:hAnsi="宋体"/>
          <w:sz w:val="18"/>
          <w:szCs w:val="18"/>
        </w:rPr>
        <w:t>兴业银行总行消费者投诉受理邮箱：【9</w:t>
      </w:r>
      <w:r>
        <w:rPr>
          <w:rFonts w:ascii="宋体" w:hAnsi="宋体"/>
          <w:sz w:val="18"/>
          <w:szCs w:val="18"/>
        </w:rPr>
        <w:t>5561</w:t>
      </w:r>
      <w:r>
        <w:rPr>
          <w:rFonts w:hint="eastAsia" w:ascii="宋体" w:hAnsi="宋体"/>
          <w:sz w:val="18"/>
          <w:szCs w:val="18"/>
        </w:rPr>
        <w:t>@</w:t>
      </w:r>
      <w:r>
        <w:rPr>
          <w:rFonts w:asciiTheme="minorEastAsia" w:hAnsiTheme="minorEastAsia"/>
          <w:sz w:val="18"/>
          <w:szCs w:val="18"/>
        </w:rPr>
        <w:t>cib.com.cn</w:t>
      </w:r>
      <w:r>
        <w:rPr>
          <w:rFonts w:hint="eastAsia" w:ascii="宋体" w:hAnsi="宋体"/>
          <w:sz w:val="18"/>
          <w:szCs w:val="18"/>
        </w:rPr>
        <w:t>】。</w:t>
      </w:r>
    </w:p>
    <w:p>
      <w:pPr>
        <w:ind w:firstLine="360" w:firstLineChars="200"/>
        <w:rPr>
          <w:rFonts w:ascii="宋体" w:hAnsi="宋体"/>
          <w:sz w:val="18"/>
          <w:szCs w:val="18"/>
        </w:rPr>
      </w:pPr>
      <w:r>
        <w:rPr>
          <w:rFonts w:hint="eastAsia" w:ascii="宋体" w:hAnsi="宋体"/>
          <w:sz w:val="18"/>
          <w:szCs w:val="18"/>
        </w:rPr>
        <w:t>3、销售机构：【/】</w:t>
      </w:r>
    </w:p>
    <w:p>
      <w:pPr>
        <w:ind w:firstLine="360" w:firstLineChars="200"/>
        <w:rPr>
          <w:rFonts w:ascii="宋体" w:hAnsi="宋体"/>
          <w:sz w:val="18"/>
          <w:szCs w:val="18"/>
        </w:rPr>
      </w:pPr>
      <w:r>
        <w:rPr>
          <w:rFonts w:hint="eastAsia" w:ascii="宋体" w:hAnsi="宋体"/>
          <w:sz w:val="18"/>
          <w:szCs w:val="18"/>
        </w:rPr>
        <w:t>【/】</w:t>
      </w:r>
    </w:p>
    <w:p>
      <w:pPr>
        <w:spacing w:line="360" w:lineRule="auto"/>
        <w:jc w:val="left"/>
        <w:rPr>
          <w:rFonts w:hint="eastAsia" w:ascii="宋体" w:hAnsi="宋体"/>
          <w:b/>
          <w:sz w:val="18"/>
          <w:szCs w:val="18"/>
        </w:rPr>
      </w:pPr>
    </w:p>
    <w:bookmarkEnd w:id="222"/>
    <w:sectPr>
      <w:headerReference r:id="rId13" w:type="default"/>
      <w:footerReference r:id="rId1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4872"/>
    </w:sdtPr>
    <w:sdtContent>
      <w:p>
        <w:pPr>
          <w:pStyle w:val="3"/>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0</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4872"/>
    </w:sdtPr>
    <w:sdtContent>
      <w:p>
        <w:pPr>
          <w:pStyle w:val="3"/>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0</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23</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3017656"/>
    </w:sdtPr>
    <w:sdtContent>
      <w:p>
        <w:pPr>
          <w:pStyle w:val="3"/>
          <w:jc w:val="center"/>
        </w:pPr>
        <w:r>
          <w:fldChar w:fldCharType="begin"/>
        </w:r>
        <w:r>
          <w:instrText xml:space="preserve">PAGE   \* MERGEFORMAT</w:instrText>
        </w:r>
        <w:r>
          <w:fldChar w:fldCharType="separate"/>
        </w:r>
        <w:r>
          <w:rPr>
            <w:lang w:val="zh-CN"/>
          </w:rPr>
          <w:t>6</w:t>
        </w:r>
        <w:r>
          <w:fldChar w:fldCharType="end"/>
        </w:r>
      </w:p>
    </w:sdtContent>
  </w:sdt>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2492923"/>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3202528"/>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b/>
      </w:rPr>
    </w:pPr>
    <w:r>
      <w:rPr>
        <w:rFonts w:hint="eastAsia"/>
        <w:b/>
      </w:rPr>
      <w:t>投资协议书</w:t>
    </w:r>
  </w:p>
  <w:p>
    <w:pPr>
      <w:pStyle w:val="4"/>
      <w:jc w:val="right"/>
      <w:rPr>
        <w:b/>
      </w:rPr>
    </w:pPr>
    <w:r>
      <w:rPr>
        <w:rFonts w:hint="eastAsia"/>
        <w:b/>
      </w:rPr>
      <w:t>注：本文件由兴银理财有限责任公司统一编制</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b/>
      </w:rPr>
    </w:pPr>
    <w:r>
      <w:rPr>
        <w:rFonts w:hint="eastAsia"/>
        <w:b/>
      </w:rPr>
      <w:t>投资协议书</w:t>
    </w:r>
  </w:p>
  <w:p>
    <w:pPr>
      <w:pStyle w:val="4"/>
      <w:jc w:val="right"/>
      <w:rPr>
        <w:b/>
      </w:rPr>
    </w:pPr>
    <w:r>
      <w:rPr>
        <w:rFonts w:hint="eastAsia"/>
        <w:b/>
      </w:rPr>
      <w:t>注：本文件由兴银理财有限责任公司统一编制</w:t>
    </w: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4"/>
      <w:jc w:val="right"/>
      <w:rPr>
        <w:rFonts w:ascii="Times New Roman" w:hAnsi="Times New Roman"/>
        <w:b/>
      </w:rPr>
    </w:pPr>
    <w:r>
      <w:rPr>
        <w:rFonts w:hint="eastAsia" w:ascii="Times New Roman" w:hAnsi="Times New Roman"/>
        <w:b/>
      </w:rPr>
      <w:t>注：本文件由兴银理财有限责任公司统一编制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宋体" w:cs="Times New Roman"/>
        <w:b/>
        <w:szCs w:val="20"/>
      </w:rPr>
    </w:pPr>
    <w:r>
      <w:rPr>
        <w:rFonts w:hint="eastAsia" w:ascii="Times New Roman" w:hAnsi="Times New Roman" w:eastAsia="宋体" w:cs="Times New Roman"/>
        <w:b/>
        <w:szCs w:val="20"/>
      </w:rPr>
      <w:t xml:space="preserve">                             </w:t>
    </w:r>
    <w:r>
      <w:rPr>
        <w:rFonts w:ascii="Times New Roman" w:hAnsi="Times New Roman" w:eastAsia="宋体" w:cs="Times New Roman"/>
        <w:b/>
        <w:szCs w:val="20"/>
      </w:rPr>
      <w:t xml:space="preserve">    </w:t>
    </w:r>
    <w:r>
      <w:rPr>
        <w:rFonts w:hint="eastAsia" w:ascii="Times New Roman" w:hAnsi="Times New Roman" w:eastAsia="宋体" w:cs="Times New Roman"/>
        <w:b/>
        <w:szCs w:val="20"/>
      </w:rPr>
      <w:t xml:space="preserve"> </w:t>
    </w:r>
    <w:r>
      <w:rPr>
        <w:rFonts w:ascii="Times New Roman" w:hAnsi="Times New Roman" w:eastAsia="宋体" w:cs="Times New Roman"/>
        <w:b/>
        <w:szCs w:val="20"/>
      </w:rPr>
      <w:t xml:space="preserve">                        </w:t>
    </w:r>
    <w:r>
      <w:rPr>
        <w:rFonts w:hint="eastAsia" w:ascii="Times New Roman" w:hAnsi="Times New Roman" w:eastAsia="宋体" w:cs="Times New Roman"/>
        <w:b/>
        <w:szCs w:val="20"/>
      </w:rPr>
      <w:t xml:space="preserve">  </w:t>
    </w:r>
    <w:r>
      <w:rPr>
        <w:rFonts w:ascii="Times New Roman" w:hAnsi="Times New Roman" w:eastAsia="宋体" w:cs="Times New Roman"/>
        <w:b/>
        <w:szCs w:val="20"/>
      </w:rPr>
      <w:t xml:space="preserve">  </w:t>
    </w:r>
    <w:r>
      <w:rPr>
        <w:rFonts w:hint="eastAsia" w:ascii="Times New Roman" w:hAnsi="Times New Roman" w:eastAsia="宋体" w:cs="Times New Roman"/>
        <w:b/>
        <w:szCs w:val="20"/>
      </w:rPr>
      <w:t>（代理）销售协议书</w:t>
    </w:r>
  </w:p>
  <w:p>
    <w:pPr>
      <w:pStyle w:val="4"/>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4"/>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宋体" w:cs="Times New Roman"/>
        <w:b/>
        <w:szCs w:val="20"/>
      </w:rPr>
    </w:pPr>
    <w:r>
      <w:rPr>
        <w:rFonts w:hint="eastAsia" w:ascii="Times New Roman" w:hAnsi="Times New Roman" w:eastAsia="宋体" w:cs="Times New Roman"/>
        <w:b/>
        <w:szCs w:val="20"/>
      </w:rPr>
      <w:t>投资者权益须知</w:t>
    </w:r>
  </w:p>
  <w:p>
    <w:pPr>
      <w:pStyle w:val="4"/>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BA17D1"/>
    <w:rsid w:val="7B013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rPr>
  </w:style>
  <w:style w:type="paragraph" w:styleId="5">
    <w:name w:val="toc 1"/>
    <w:basedOn w:val="1"/>
    <w:next w:val="1"/>
    <w:qFormat/>
    <w:uiPriority w:val="39"/>
    <w:pPr>
      <w:tabs>
        <w:tab w:val="right" w:leader="dot" w:pos="8296"/>
      </w:tabs>
      <w:spacing w:line="360" w:lineRule="auto"/>
    </w:p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Hyperlink"/>
    <w:basedOn w:val="9"/>
    <w:qFormat/>
    <w:uiPriority w:val="99"/>
    <w:rPr>
      <w:color w:val="0000FF"/>
      <w:u w:val="single"/>
    </w:rPr>
  </w:style>
  <w:style w:type="paragraph" w:styleId="12">
    <w:name w:val="List Paragraph"/>
    <w:basedOn w:val="1"/>
    <w:qFormat/>
    <w:uiPriority w:val="0"/>
    <w:pPr>
      <w:ind w:firstLine="420" w:firstLineChars="200"/>
    </w:pPr>
  </w:style>
  <w:style w:type="paragraph" w:customStyle="1" w:styleId="13">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paragraph" w:customStyle="1" w:styleId="1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5">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2023-10-12T02:54:00Z</dcterms:created>
  <dc:creator>cib</dc:creator>
  <cp:lastModifiedBy>曹云灏</cp:lastModifiedBy>
  <dcterms:modified xsi:type="dcterms:W3CDTF">2023-10-12T08:56:01Z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