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序号</w:t>
            </w:r>
          </w:p>
        </w:tc>
        <w:tc>
          <w:tcPr>
            <w:tcW w:w="5812"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理财产品销售文件中的具体文件名称</w:t>
            </w:r>
          </w:p>
        </w:tc>
        <w:tc>
          <w:tcPr>
            <w:tcW w:w="1984"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1</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兴银理财稳利安盈封闭式理财产品产品说明书</w:t>
            </w:r>
          </w:p>
        </w:tc>
        <w:tc>
          <w:tcPr>
            <w:tcW w:w="198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 w:val="2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36"/>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36"/>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兴银理财稳利安盈封闭式理财产品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112224"/>
      <w:bookmarkStart w:id="3" w:name="_Toc123112263"/>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701384"/>
      <w:bookmarkStart w:id="7" w:name="_Toc139992302"/>
      <w:bookmarkStart w:id="8" w:name="_Toc123112225"/>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ascii="宋体" w:hAnsi="宋体"/>
          <w:sz w:val="28"/>
          <w:szCs w:val="28"/>
        </w:rPr>
        <w:t>9</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kern w:val="0"/>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kern w:val="0"/>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kern w:val="0"/>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23701386"/>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rPr>
            </w:pPr>
            <w:r>
              <w:rPr>
                <w:rFonts w:hint="eastAsia" w:ascii="宋体" w:hAnsi="宋体"/>
                <w:b/>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32639"/>
      <w:bookmarkStart w:id="16" w:name="_Toc26897"/>
      <w:bookmarkStart w:id="17" w:name="_Toc123112229"/>
      <w:bookmarkStart w:id="18" w:name="_Toc139991730"/>
      <w:bookmarkStart w:id="19" w:name="_Toc123701389"/>
      <w:bookmarkStart w:id="20" w:name="_Toc8727"/>
      <w:bookmarkStart w:id="21" w:name="_Toc29629"/>
      <w:bookmarkStart w:id="22" w:name="_Toc15517"/>
      <w:bookmarkStart w:id="23" w:name="_Toc4867"/>
      <w:bookmarkStart w:id="24" w:name="_Toc6306"/>
      <w:bookmarkStart w:id="25" w:name="_Toc123112268"/>
      <w:bookmarkStart w:id="26" w:name="_Toc30935"/>
      <w:bookmarkStart w:id="27" w:name="_Toc23386"/>
      <w:bookmarkStart w:id="28" w:name="_Toc4966"/>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258829399"/>
      <w:bookmarkStart w:id="34" w:name="_Toc24860"/>
      <w:bookmarkStart w:id="35" w:name="_Toc19592"/>
      <w:bookmarkStart w:id="36" w:name="_Toc2465"/>
      <w:bookmarkStart w:id="37" w:name="_Toc13020"/>
      <w:bookmarkStart w:id="38" w:name="_Toc3224"/>
      <w:bookmarkStart w:id="39" w:name="_Toc15067"/>
      <w:bookmarkStart w:id="40" w:name="_Toc21301"/>
      <w:bookmarkStart w:id="41" w:name="_Toc819"/>
      <w:bookmarkStart w:id="42" w:name="_Toc6617"/>
      <w:r>
        <w:rPr>
          <w:rFonts w:hint="eastAsia" w:ascii="Times New Roman"/>
          <w:color w:val="auto"/>
          <w:sz w:val="30"/>
        </w:rPr>
        <w:t>前言</w:t>
      </w:r>
      <w:bookmarkEnd w:id="29"/>
    </w:p>
    <w:p>
      <w:pPr>
        <w:pStyle w:val="35"/>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35"/>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74065740"/>
      <w:bookmarkStart w:id="48" w:name="_Toc6683"/>
      <w:bookmarkStart w:id="49" w:name="_Toc22708"/>
      <w:bookmarkStart w:id="50" w:name="_Toc24571"/>
      <w:bookmarkStart w:id="51" w:name="_Toc733"/>
      <w:bookmarkStart w:id="52" w:name="_Toc18631"/>
      <w:bookmarkStart w:id="53" w:name="_Toc13288"/>
      <w:bookmarkStart w:id="54" w:name="_Toc20318"/>
      <w:bookmarkStart w:id="55" w:name="_Toc545"/>
      <w:bookmarkStart w:id="56" w:name="_Toc6149"/>
      <w:bookmarkStart w:id="57" w:name="_Toc20627"/>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产品份额</w:t>
            </w:r>
            <w:r>
              <w:rPr>
                <w:rFonts w:ascii="宋体" w:hAnsi="宋体"/>
                <w:b/>
                <w:kern w:val="0"/>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【】类</w:t>
            </w:r>
            <w:r>
              <w:rPr>
                <w:rFonts w:ascii="宋体" w:hAnsi="宋体" w:cs="宋体"/>
                <w:b/>
                <w:kern w:val="0"/>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bCs/>
                <w:kern w:val="0"/>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kern w:val="0"/>
                <w:sz w:val="18"/>
                <w:szCs w:val="18"/>
              </w:rPr>
            </w:pPr>
            <w:r>
              <w:rPr>
                <w:rFonts w:ascii="宋体" w:hAnsi="宋体"/>
                <w:b/>
                <w:bCs/>
                <w:kern w:val="0"/>
                <w:sz w:val="18"/>
                <w:szCs w:val="18"/>
              </w:rPr>
              <w:t>金额：</w:t>
            </w:r>
            <w:r>
              <w:rPr>
                <w:rFonts w:hint="eastAsia" w:ascii="宋体" w:hAnsi="宋体"/>
                <w:b/>
                <w:bCs/>
                <w:kern w:val="0"/>
                <w:sz w:val="18"/>
                <w:szCs w:val="18"/>
              </w:rPr>
              <w:t>小写：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rPr>
              <w:t>，大写：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u w:val="single"/>
              </w:rPr>
              <w:t xml:space="preserve">      </w:t>
            </w:r>
            <w:r>
              <w:rPr>
                <w:rFonts w:hint="eastAsia" w:ascii="宋体" w:hAnsi="宋体"/>
                <w:b/>
                <w:bCs/>
                <w:kern w:val="0"/>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kern w:val="0"/>
                <w:sz w:val="18"/>
                <w:szCs w:val="18"/>
              </w:rPr>
            </w:pPr>
            <w:r>
              <w:rPr>
                <w:rFonts w:hint="eastAsia" w:ascii="宋体" w:hAnsi="宋体"/>
                <w:b/>
                <w:bCs/>
                <w:kern w:val="0"/>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kern w:val="0"/>
                <w:sz w:val="18"/>
                <w:szCs w:val="18"/>
              </w:rPr>
            </w:pPr>
            <w:r>
              <w:rPr>
                <w:rFonts w:ascii="宋体" w:hAnsi="宋体"/>
                <w:b/>
                <w:bCs/>
                <w:kern w:val="0"/>
                <w:sz w:val="18"/>
                <w:szCs w:val="18"/>
              </w:rPr>
              <w:t>封闭式产品不设置申购</w:t>
            </w:r>
            <w:r>
              <w:rPr>
                <w:rFonts w:hint="eastAsia" w:ascii="宋体" w:hAnsi="宋体"/>
                <w:b/>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kern w:val="0"/>
                <w:sz w:val="18"/>
                <w:szCs w:val="18"/>
              </w:rPr>
            </w:pPr>
            <w:r>
              <w:rPr>
                <w:rFonts w:hint="eastAsia" w:ascii="宋体" w:hAnsi="宋体"/>
                <w:b/>
                <w:bCs/>
                <w:kern w:val="0"/>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kern w:val="0"/>
                <w:sz w:val="18"/>
                <w:szCs w:val="18"/>
              </w:rPr>
            </w:pPr>
            <w:r>
              <w:rPr>
                <w:rFonts w:ascii="宋体" w:hAnsi="宋体"/>
                <w:b/>
                <w:bCs/>
                <w:kern w:val="0"/>
                <w:sz w:val="18"/>
                <w:szCs w:val="18"/>
              </w:rPr>
              <w:t>封闭式产品不设置</w:t>
            </w:r>
            <w:r>
              <w:rPr>
                <w:rFonts w:hint="eastAsia" w:ascii="宋体" w:hAnsi="宋体"/>
                <w:b/>
                <w:bCs/>
                <w:kern w:val="0"/>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Theme="minorEastAsia" w:hAnsiTheme="minorEastAsia"/>
                <w:kern w:val="0"/>
                <w:sz w:val="18"/>
                <w:szCs w:val="18"/>
              </w:rPr>
              <w:t xml:space="preserve">【 </w:t>
            </w:r>
            <w:r>
              <w:rPr>
                <w:rFonts w:asciiTheme="minorEastAsia" w:hAnsiTheme="minorEastAsia"/>
                <w:kern w:val="0"/>
                <w:sz w:val="18"/>
                <w:szCs w:val="18"/>
              </w:rPr>
              <w:t>】年</w:t>
            </w:r>
            <w:r>
              <w:rPr>
                <w:rFonts w:hint="eastAsia" w:asciiTheme="minorEastAsia" w:hAnsiTheme="minorEastAsia"/>
                <w:kern w:val="0"/>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kern w:val="0"/>
                <w:sz w:val="18"/>
                <w:szCs w:val="18"/>
              </w:rPr>
            </w:pPr>
            <w:r>
              <w:rPr>
                <w:rFonts w:hint="eastAsia" w:ascii="宋体" w:hAnsi="宋体"/>
                <w:b/>
                <w:kern w:val="0"/>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投资</w:t>
            </w:r>
            <w:r>
              <w:rPr>
                <w:rFonts w:ascii="黑体" w:hAnsi="黑体" w:eastAsia="黑体"/>
                <w:kern w:val="0"/>
                <w:sz w:val="18"/>
                <w:szCs w:val="18"/>
              </w:rPr>
              <w:t>协议书》以前，投资者已认真阅读理财产品销售文件（包括但不限于《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hint="eastAsia" w:ascii="黑体" w:hAnsi="黑体" w:eastAsia="黑体"/>
                <w:kern w:val="0"/>
                <w:sz w:val="18"/>
                <w:szCs w:val="18"/>
              </w:rPr>
              <w:t>3、投资者</w:t>
            </w:r>
            <w:r>
              <w:rPr>
                <w:rFonts w:ascii="黑体" w:hAnsi="黑体" w:eastAsia="黑体"/>
                <w:kern w:val="0"/>
                <w:sz w:val="18"/>
                <w:szCs w:val="18"/>
              </w:rPr>
              <w:t>已认真阅读并充分理解包括但不限于《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投资者签署栏</w:t>
            </w:r>
          </w:p>
        </w:tc>
        <w:tc>
          <w:tcPr>
            <w:tcW w:w="851" w:type="dxa"/>
            <w:gridSpan w:val="2"/>
          </w:tcPr>
          <w:p>
            <w:pPr>
              <w:spacing w:line="360" w:lineRule="auto"/>
              <w:rPr>
                <w:b/>
                <w:kern w:val="0"/>
                <w:sz w:val="18"/>
                <w:szCs w:val="18"/>
              </w:rPr>
            </w:pPr>
            <w:r>
              <w:rPr>
                <w:rFonts w:hint="eastAsia"/>
                <w:b/>
                <w:kern w:val="0"/>
                <w:sz w:val="18"/>
                <w:szCs w:val="18"/>
              </w:rPr>
              <w:t>个人投资者适用</w:t>
            </w:r>
          </w:p>
        </w:tc>
        <w:tc>
          <w:tcPr>
            <w:tcW w:w="6998" w:type="dxa"/>
            <w:gridSpan w:val="2"/>
          </w:tcPr>
          <w:p>
            <w:pPr>
              <w:spacing w:line="360" w:lineRule="auto"/>
              <w:rPr>
                <w:kern w:val="0"/>
                <w:sz w:val="18"/>
                <w:szCs w:val="18"/>
              </w:rPr>
            </w:pPr>
            <w:r>
              <w:rPr>
                <w:rFonts w:hint="eastAsia"/>
                <w:kern w:val="0"/>
                <w:sz w:val="18"/>
                <w:szCs w:val="18"/>
              </w:rPr>
              <w:t>投资者（签字）：</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gridSpan w:val="2"/>
          </w:tcPr>
          <w:p>
            <w:pPr>
              <w:spacing w:line="360" w:lineRule="auto"/>
              <w:rPr>
                <w:b/>
                <w:kern w:val="0"/>
                <w:sz w:val="18"/>
                <w:szCs w:val="18"/>
              </w:rPr>
            </w:pPr>
            <w:r>
              <w:rPr>
                <w:rFonts w:hint="eastAsia"/>
                <w:b/>
                <w:kern w:val="0"/>
                <w:sz w:val="18"/>
                <w:szCs w:val="18"/>
              </w:rPr>
              <w:t>机构投资者适用</w:t>
            </w:r>
          </w:p>
        </w:tc>
        <w:tc>
          <w:tcPr>
            <w:tcW w:w="6998" w:type="dxa"/>
            <w:gridSpan w:val="2"/>
          </w:tcPr>
          <w:p>
            <w:pPr>
              <w:spacing w:line="360" w:lineRule="auto"/>
              <w:rPr>
                <w:rFonts w:cs="Arial"/>
                <w:kern w:val="0"/>
                <w:sz w:val="18"/>
                <w:szCs w:val="18"/>
              </w:rPr>
            </w:pPr>
            <w:r>
              <w:rPr>
                <w:rFonts w:hint="eastAsia"/>
                <w:kern w:val="0"/>
                <w:sz w:val="18"/>
                <w:szCs w:val="18"/>
              </w:rPr>
              <w:t>投资者</w:t>
            </w:r>
            <w:r>
              <w:rPr>
                <w:rFonts w:hint="eastAsia" w:cs="Arial"/>
                <w:kern w:val="0"/>
                <w:sz w:val="18"/>
                <w:szCs w:val="18"/>
              </w:rPr>
              <w:t>（盖章）：</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投资者法定代表人或授权代理人（签字或盖章）：</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pgSz w:w="11906" w:h="16838"/>
          <w:pgMar w:top="1440" w:right="1800" w:bottom="1440" w:left="1800" w:header="567" w:footer="964" w:gutter="0"/>
          <w:pgNumType w:start="1"/>
          <w:cols w:space="720" w:num="1"/>
          <w:docGrid w:type="lines" w:linePitch="312" w:charSpace="0"/>
        </w:sect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兴银理财稳利安盈封闭式理财产品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日期</w:t>
      </w:r>
      <w:r>
        <w:rPr>
          <w:rStyle w:val="27"/>
          <w:rFonts w:ascii="宋体" w:hAnsi="宋体"/>
          <w:sz w:val="32"/>
          <w:szCs w:val="32"/>
        </w:rPr>
        <w:t>：</w:t>
      </w:r>
      <w:r>
        <w:rPr>
          <w:rStyle w:val="27"/>
          <w:rFonts w:hint="eastAsia" w:ascii="宋体" w:hAnsi="宋体"/>
          <w:sz w:val="32"/>
          <w:szCs w:val="32"/>
        </w:rPr>
        <w:t>【2023】年【9】月</w:t>
      </w:r>
    </w:p>
    <w:p>
      <w:pPr>
        <w:adjustRightInd w:val="0"/>
        <w:spacing w:line="360" w:lineRule="auto"/>
        <w:jc w:val="center"/>
        <w:rPr>
          <w:rStyle w:val="27"/>
          <w:rFonts w:ascii="宋体" w:hAnsi="宋体"/>
          <w:sz w:val="32"/>
          <w:szCs w:val="32"/>
        </w:rPr>
      </w:pPr>
    </w:p>
    <w:p>
      <w:pPr>
        <w:pStyle w:val="35"/>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Times New Roman" w:hAnsi="Times New Roman" w:eastAsia="宋体" w:cs="Times New Roman"/>
          <w:b w:val="0"/>
          <w:bCs w:val="0"/>
          <w:color w:val="auto"/>
          <w:kern w:val="2"/>
          <w:sz w:val="21"/>
          <w:szCs w:val="20"/>
          <w:lang w:val="en-US"/>
        </w:rPr>
      </w:sdtEndPr>
      <w:sdtContent>
        <w:p>
          <w:pPr>
            <w:pStyle w:val="58"/>
            <w:spacing w:line="360" w:lineRule="auto"/>
            <w:jc w:val="center"/>
          </w:pPr>
          <w:bookmarkStart w:id="66" w:name="_Toc78276587"/>
          <w:r>
            <w:rPr>
              <w:lang w:val="zh-CN"/>
            </w:rPr>
            <w:t>目录</w:t>
          </w:r>
        </w:p>
        <w:p>
          <w:pPr>
            <w:pStyle w:val="16"/>
            <w:rPr>
              <w:rFonts w:asciiTheme="minorHAnsi" w:hAnsiTheme="minorHAnsi" w:eastAsiaTheme="minorEastAsia" w:cstheme="minorBidi"/>
            </w:rPr>
          </w:pPr>
          <w:r>
            <w:rPr>
              <w:kern w:val="0"/>
              <w:sz w:val="22"/>
            </w:rPr>
            <w:fldChar w:fldCharType="begin"/>
          </w:r>
          <w:r>
            <w:instrText xml:space="preserve"> TOC \o "1-3" \h \z \u </w:instrText>
          </w:r>
          <w:r>
            <w:rPr>
              <w:kern w:val="0"/>
              <w:sz w:val="22"/>
            </w:rPr>
            <w:fldChar w:fldCharType="separate"/>
          </w:r>
          <w:r>
            <w:fldChar w:fldCharType="begin"/>
          </w:r>
          <w:r>
            <w:instrText xml:space="preserve"> HYPERLINK \l "_Toc116649649" </w:instrText>
          </w:r>
          <w:r>
            <w:fldChar w:fldCharType="separate"/>
          </w:r>
          <w:r>
            <w:rPr>
              <w:rStyle w:val="29"/>
              <w:rFonts w:hint="eastAsia"/>
            </w:rPr>
            <w:t>第一条</w:t>
          </w:r>
          <w:r>
            <w:rPr>
              <w:rStyle w:val="29"/>
            </w:rPr>
            <w:t xml:space="preserve">  </w:t>
          </w:r>
          <w:r>
            <w:rPr>
              <w:rStyle w:val="29"/>
              <w:rFonts w:hint="eastAsia"/>
            </w:rPr>
            <w:t>释义</w:t>
          </w:r>
          <w:r>
            <w:tab/>
          </w:r>
          <w:r>
            <w:fldChar w:fldCharType="begin"/>
          </w:r>
          <w:r>
            <w:instrText xml:space="preserve"> PAGEREF _Toc116649649 \h </w:instrText>
          </w:r>
          <w:r>
            <w:fldChar w:fldCharType="separate"/>
          </w:r>
          <w:r>
            <w:t>3</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"_Toc116649651" </w:instrText>
          </w:r>
          <w:r>
            <w:fldChar w:fldCharType="separate"/>
          </w:r>
          <w:r>
            <w:rPr>
              <w:rStyle w:val="29"/>
              <w:rFonts w:hint="eastAsia"/>
            </w:rPr>
            <w:t>第三条</w:t>
          </w:r>
          <w:r>
            <w:rPr>
              <w:rStyle w:val="29"/>
            </w:rPr>
            <w:t xml:space="preserve">  </w:t>
          </w:r>
          <w:r>
            <w:rPr>
              <w:rStyle w:val="29"/>
              <w:rFonts w:hint="eastAsia"/>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"_Toc116649652" </w:instrText>
          </w:r>
          <w:r>
            <w:fldChar w:fldCharType="separate"/>
          </w:r>
          <w:r>
            <w:rPr>
              <w:rStyle w:val="29"/>
              <w:rFonts w:hint="eastAsia"/>
            </w:rPr>
            <w:t>第四条</w:t>
          </w:r>
          <w:r>
            <w:rPr>
              <w:rStyle w:val="29"/>
            </w:rPr>
            <w:t xml:space="preserve">  </w:t>
          </w:r>
          <w:r>
            <w:rPr>
              <w:rStyle w:val="29"/>
              <w:rFonts w:hint="eastAsia"/>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"_Toc116649653" </w:instrText>
          </w:r>
          <w:r>
            <w:fldChar w:fldCharType="separate"/>
          </w:r>
          <w:r>
            <w:rPr>
              <w:rStyle w:val="29"/>
              <w:rFonts w:hint="eastAsia"/>
            </w:rPr>
            <w:t>第五条</w:t>
          </w:r>
          <w:r>
            <w:rPr>
              <w:rStyle w:val="29"/>
            </w:rPr>
            <w:t xml:space="preserve">  </w:t>
          </w:r>
          <w:r>
            <w:rPr>
              <w:rStyle w:val="29"/>
              <w:rFonts w:hint="eastAsia"/>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"_Toc116649654" </w:instrText>
          </w:r>
          <w:r>
            <w:fldChar w:fldCharType="separate"/>
          </w:r>
          <w:r>
            <w:rPr>
              <w:rStyle w:val="29"/>
              <w:rFonts w:hint="eastAsia"/>
            </w:rPr>
            <w:t>第六条</w:t>
          </w:r>
          <w:r>
            <w:rPr>
              <w:rStyle w:val="29"/>
            </w:rPr>
            <w:t xml:space="preserve">  </w:t>
          </w:r>
          <w:r>
            <w:rPr>
              <w:rStyle w:val="29"/>
              <w:rFonts w:hint="eastAsia"/>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"_Toc116649655" </w:instrText>
          </w:r>
          <w:r>
            <w:fldChar w:fldCharType="separate"/>
          </w:r>
          <w:r>
            <w:rPr>
              <w:rStyle w:val="29"/>
              <w:rFonts w:hint="eastAsia"/>
            </w:rPr>
            <w:t>第七条</w:t>
          </w:r>
          <w:r>
            <w:rPr>
              <w:rStyle w:val="29"/>
            </w:rPr>
            <w:t xml:space="preserve">  </w:t>
          </w:r>
          <w:r>
            <w:rPr>
              <w:rStyle w:val="29"/>
              <w:rFonts w:hint="eastAsia"/>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"_Toc116649656" </w:instrText>
          </w:r>
          <w:r>
            <w:fldChar w:fldCharType="separate"/>
          </w:r>
          <w:r>
            <w:rPr>
              <w:rStyle w:val="29"/>
              <w:rFonts w:hint="eastAsia"/>
            </w:rPr>
            <w:t>第八条</w:t>
          </w:r>
          <w:r>
            <w:rPr>
              <w:rStyle w:val="29"/>
            </w:rPr>
            <w:t xml:space="preserve">  </w:t>
          </w:r>
          <w:r>
            <w:rPr>
              <w:rStyle w:val="29"/>
              <w:rFonts w:hint="eastAsia"/>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"_Toc116649657" </w:instrText>
          </w:r>
          <w:r>
            <w:fldChar w:fldCharType="separate"/>
          </w:r>
          <w:r>
            <w:rPr>
              <w:rStyle w:val="29"/>
              <w:rFonts w:hint="eastAsia"/>
            </w:rPr>
            <w:t>第九条</w:t>
          </w:r>
          <w:r>
            <w:rPr>
              <w:rStyle w:val="29"/>
            </w:rPr>
            <w:t xml:space="preserve">  </w:t>
          </w:r>
          <w:r>
            <w:rPr>
              <w:rStyle w:val="29"/>
              <w:rFonts w:hint="eastAsia"/>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"_Toc116649659" </w:instrText>
          </w:r>
          <w:r>
            <w:fldChar w:fldCharType="separate"/>
          </w:r>
          <w:r>
            <w:rPr>
              <w:rStyle w:val="29"/>
              <w:rFonts w:hint="eastAsia"/>
            </w:rPr>
            <w:t>第十一条</w:t>
          </w:r>
          <w:r>
            <w:rPr>
              <w:rStyle w:val="29"/>
            </w:rPr>
            <w:t xml:space="preserve">  </w:t>
          </w:r>
          <w:r>
            <w:rPr>
              <w:rStyle w:val="29"/>
              <w:rFonts w:hint="eastAsia"/>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16"/>
            <w:rPr>
              <w:rFonts w:asciiTheme="minorHAnsi" w:hAnsiTheme="minorHAnsi" w:eastAsiaTheme="minorEastAsia" w:cstheme="minorBidi"/>
            </w:rPr>
          </w:pPr>
          <w:r>
            <w:fldChar w:fldCharType="begin"/>
          </w:r>
          <w:r>
            <w:instrText xml:space="preserve"> HYPERLINK \l "_Toc116649660" </w:instrText>
          </w:r>
          <w:r>
            <w:fldChar w:fldCharType="separate"/>
          </w:r>
          <w:r>
            <w:rPr>
              <w:rStyle w:val="29"/>
              <w:rFonts w:hint="eastAsia"/>
            </w:rPr>
            <w:t>第十二条</w:t>
          </w:r>
          <w:r>
            <w:rPr>
              <w:rStyle w:val="29"/>
            </w:rPr>
            <w:t xml:space="preserve">  </w:t>
          </w:r>
          <w:r>
            <w:rPr>
              <w:rStyle w:val="29"/>
              <w:rFonts w:hint="eastAsia"/>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sz w:val="30"/>
        </w:rPr>
      </w:pPr>
      <w:r>
        <w:rPr>
          <w:sz w:val="30"/>
        </w:rPr>
        <w:br w:type="page"/>
      </w:r>
    </w:p>
    <w:p>
      <w:pPr>
        <w:pStyle w:val="2"/>
        <w:spacing w:before="0" w:after="0"/>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5"/>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5"/>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5"/>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5"/>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5"/>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5"/>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5"/>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兴银理财稳利安盈封闭式2023年39期固收类理财产品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稳利安盈封闭式2023年39期A】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w:t>
            </w:r>
            <w:r>
              <w:rPr>
                <w:rFonts w:ascii="宋体" w:hAnsi="宋体"/>
                <w:bCs/>
                <w:sz w:val="18"/>
                <w:szCs w:val="18"/>
              </w:rPr>
              <w:t>39</w:t>
            </w:r>
            <w:r>
              <w:rPr>
                <w:rFonts w:hint="eastAsia" w:ascii="宋体" w:hAnsi="宋体"/>
                <w:bCs/>
                <w:sz w:val="18"/>
                <w:szCs w:val="18"/>
              </w:rPr>
              <w:t>期B】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w:t>
            </w:r>
            <w:r>
              <w:rPr>
                <w:rFonts w:ascii="宋体" w:hAnsi="宋体"/>
                <w:bCs/>
                <w:sz w:val="18"/>
                <w:szCs w:val="18"/>
              </w:rPr>
              <w:t>39</w:t>
            </w:r>
            <w:r>
              <w:rPr>
                <w:rFonts w:hint="eastAsia" w:ascii="宋体" w:hAnsi="宋体"/>
                <w:bCs/>
                <w:sz w:val="18"/>
                <w:szCs w:val="18"/>
              </w:rPr>
              <w:t>期C】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Z7002023000559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9A123390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9A12339A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9A12339B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9A12339C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■有固定期限：【148天】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】年【9</w:t>
            </w:r>
            <w:r>
              <w:rPr>
                <w:rFonts w:hint="eastAsia" w:asciiTheme="minorEastAsia" w:hAnsiTheme="minorEastAsia"/>
                <w:sz w:val="18"/>
                <w:szCs w:val="18"/>
              </w:rPr>
              <w:t>】月【20】日【9：00】</w:t>
            </w:r>
            <w:r>
              <w:rPr>
                <w:rFonts w:hint="eastAsia" w:cs="仿宋_GB2312" w:asciiTheme="minorEastAsia" w:hAnsiTheme="minorEastAsia"/>
                <w:sz w:val="18"/>
                <w:szCs w:val="18"/>
              </w:rPr>
              <w:t>至</w:t>
            </w:r>
            <w:r>
              <w:rPr>
                <w:rFonts w:hint="eastAsia" w:asciiTheme="minorEastAsia" w:hAnsiTheme="minorEastAsia"/>
                <w:sz w:val="18"/>
                <w:szCs w:val="18"/>
              </w:rPr>
              <w:t>【2023</w:t>
            </w:r>
            <w:r>
              <w:rPr>
                <w:rFonts w:asciiTheme="minorEastAsia" w:hAnsiTheme="minorEastAsia"/>
                <w:sz w:val="18"/>
                <w:szCs w:val="18"/>
              </w:rPr>
              <w:t>】年【9</w:t>
            </w:r>
            <w:r>
              <w:rPr>
                <w:rFonts w:hint="eastAsia" w:asciiTheme="minorEastAsia" w:hAnsiTheme="minorEastAsia"/>
                <w:sz w:val="18"/>
                <w:szCs w:val="18"/>
              </w:rPr>
              <w:t>】月【</w:t>
            </w:r>
            <w:r>
              <w:rPr>
                <w:rFonts w:asciiTheme="minorEastAsia" w:hAnsiTheme="minorEastAsia"/>
                <w:sz w:val="18"/>
                <w:szCs w:val="18"/>
              </w:rPr>
              <w:t>25</w:t>
            </w:r>
            <w:r>
              <w:rPr>
                <w:rFonts w:hint="eastAsia" w:asciiTheme="minorEastAsia" w:hAnsiTheme="minorEastAsia"/>
                <w:sz w:val="18"/>
                <w:szCs w:val="18"/>
              </w:rPr>
              <w:t>】日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bookmarkStart w:id="222" w:name="_GoBack"/>
            <w:bookmarkEnd w:id="222"/>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sz w:val="18"/>
                <w:szCs w:val="18"/>
              </w:rPr>
              <w:t>【2023</w:t>
            </w:r>
            <w:r>
              <w:rPr>
                <w:rFonts w:asciiTheme="minorEastAsia" w:hAnsiTheme="minorEastAsia"/>
                <w:sz w:val="18"/>
                <w:szCs w:val="18"/>
              </w:rPr>
              <w:t>】年【9</w:t>
            </w:r>
            <w:r>
              <w:rPr>
                <w:rFonts w:hint="eastAsia" w:asciiTheme="minorEastAsia" w:hAnsiTheme="minorEastAsia"/>
                <w:sz w:val="18"/>
                <w:szCs w:val="18"/>
              </w:rPr>
              <w:t>】月【</w:t>
            </w:r>
            <w:r>
              <w:rPr>
                <w:rFonts w:asciiTheme="minorEastAsia" w:hAnsiTheme="minorEastAsia"/>
                <w:sz w:val="18"/>
                <w:szCs w:val="18"/>
              </w:rPr>
              <w:t>26</w:t>
            </w:r>
            <w:r>
              <w:rPr>
                <w:rFonts w:hint="eastAsia"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asciiTheme="minorEastAsia" w:hAnsiTheme="minorEastAsia"/>
                <w:sz w:val="18"/>
                <w:szCs w:val="18"/>
              </w:rPr>
              <w:t>【2024</w:t>
            </w:r>
            <w:r>
              <w:rPr>
                <w:rFonts w:asciiTheme="minorEastAsia" w:hAnsiTheme="minorEastAsia"/>
                <w:sz w:val="18"/>
                <w:szCs w:val="18"/>
              </w:rPr>
              <w:t>】年【2</w:t>
            </w:r>
            <w:r>
              <w:rPr>
                <w:rFonts w:hint="eastAsia" w:asciiTheme="minorEastAsia" w:hAnsiTheme="minorEastAsia"/>
                <w:sz w:val="18"/>
                <w:szCs w:val="18"/>
              </w:rPr>
              <w:t>】月【21】日（遇节假日顺延）</w:t>
            </w:r>
            <w:r>
              <w:rPr>
                <w:rFonts w:hint="eastAsia" w:asciiTheme="minorEastAsia" w:hAnsiTheme="minorEastAsia"/>
                <w:bCs/>
                <w:sz w:val="18"/>
                <w:szCs w:val="18"/>
              </w:rPr>
              <w:t>。</w:t>
            </w:r>
          </w:p>
          <w:p>
            <w:pPr>
              <w:spacing w:line="360" w:lineRule="auto"/>
              <w:rPr>
                <w:rFonts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5"/>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5"/>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5"/>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5"/>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90</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81</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5"/>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jc w:val="center"/>
        <w:rPr>
          <w:rFonts w:ascii="Times New Roman"/>
          <w:sz w:val="30"/>
        </w:rPr>
      </w:pPr>
      <w:bookmarkStart w:id="70" w:name="_Toc116649651"/>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5"/>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募集期开始日</w:t>
            </w:r>
            <w:r>
              <w:rPr>
                <w:rFonts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产品成立日</w:t>
            </w:r>
          </w:p>
        </w:tc>
      </w:tr>
    </w:tbl>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jc w:val="center"/>
        <w:rPr>
          <w:rFonts w:ascii="Times New Roman"/>
          <w:sz w:val="30"/>
        </w:rPr>
      </w:pPr>
      <w:bookmarkStart w:id="75" w:name="_Toc116649652"/>
      <w:bookmarkStart w:id="76" w:name="_Toc4771"/>
      <w:bookmarkStart w:id="77" w:name="_Toc27189"/>
      <w:bookmarkStart w:id="78" w:name="_Toc29784"/>
      <w:bookmarkStart w:id="79" w:name="_Toc29948"/>
      <w:bookmarkStart w:id="80" w:name="_Toc27226"/>
      <w:bookmarkStart w:id="81" w:name="_Toc3266"/>
      <w:bookmarkStart w:id="82" w:name="_Toc15203"/>
      <w:bookmarkStart w:id="83" w:name="_Toc7151"/>
      <w:bookmarkStart w:id="84" w:name="_Toc90742688"/>
      <w:bookmarkStart w:id="85" w:name="_Toc16265"/>
      <w:bookmarkStart w:id="86" w:name="_Toc79154668"/>
      <w:bookmarkStart w:id="87" w:name="_Toc74065741"/>
      <w:bookmarkStart w:id="88" w:name="_Toc90742321"/>
      <w:bookmarkStart w:id="89" w:name="_Toc90742390"/>
      <w:bookmarkStart w:id="90" w:name="_Toc22074"/>
      <w:bookmarkStart w:id="91" w:name="_Toc671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35"/>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5"/>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5"/>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5"/>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93" w:name="_Toc139991735"/>
      <w:bookmarkStart w:id="94" w:name="_Toc79154669"/>
      <w:bookmarkStart w:id="95" w:name="_Toc18797"/>
      <w:bookmarkStart w:id="96" w:name="_Toc26986"/>
      <w:bookmarkStart w:id="97" w:name="_Toc4741"/>
      <w:bookmarkStart w:id="98" w:name="_Toc17912"/>
      <w:bookmarkStart w:id="99" w:name="_Toc116649654"/>
      <w:bookmarkStart w:id="100" w:name="_Toc141703885"/>
      <w:bookmarkStart w:id="101" w:name="_Toc74065742"/>
      <w:bookmarkStart w:id="102" w:name="_Toc14893"/>
      <w:bookmarkStart w:id="103" w:name="_Toc21988"/>
      <w:bookmarkStart w:id="104" w:name="_Toc18526"/>
      <w:bookmarkStart w:id="105" w:name="_Toc1823"/>
      <w:bookmarkStart w:id="106" w:name="_Toc18329"/>
      <w:bookmarkStart w:id="107"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35"/>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jc w:val="center"/>
        <w:rPr>
          <w:rFonts w:ascii="Times New Roman"/>
          <w:sz w:val="30"/>
        </w:rPr>
      </w:pPr>
      <w:bookmarkStart w:id="109" w:name="_Toc79392606"/>
      <w:bookmarkStart w:id="110" w:name="_Toc1427"/>
      <w:bookmarkStart w:id="111" w:name="_Toc98560352"/>
      <w:bookmarkStart w:id="112" w:name="_Toc79154670"/>
      <w:bookmarkStart w:id="113" w:name="_Toc123102453"/>
      <w:bookmarkStart w:id="114" w:name="_Toc123051452"/>
      <w:bookmarkStart w:id="115" w:name="_Toc610"/>
      <w:bookmarkStart w:id="116" w:name="_Toc20733"/>
      <w:bookmarkStart w:id="117" w:name="_Toc23261"/>
      <w:bookmarkStart w:id="118" w:name="_Toc17244"/>
      <w:bookmarkStart w:id="119" w:name="_Toc7920"/>
      <w:bookmarkStart w:id="120" w:name="_Toc4003"/>
      <w:bookmarkStart w:id="121" w:name="_Toc23822"/>
      <w:bookmarkStart w:id="122" w:name="_Toc10463"/>
      <w:bookmarkStart w:id="123" w:name="_Toc74065743"/>
      <w:bookmarkStart w:id="124" w:name="_Toc48649707"/>
      <w:bookmarkStart w:id="125" w:name="_Toc141703886"/>
      <w:bookmarkStart w:id="126" w:name="_Toc123112234"/>
      <w:bookmarkStart w:id="127" w:name="_Toc116649655"/>
      <w:bookmarkStart w:id="128" w:name="_Toc139991736"/>
      <w:bookmarkStart w:id="129" w:name="_Toc12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5"/>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5"/>
        <w:spacing w:line="360" w:lineRule="auto"/>
        <w:ind w:firstLine="361" w:firstLineChars="200"/>
        <w:rPr>
          <w:rFonts w:hAnsi="宋体"/>
          <w:b/>
          <w:bCs/>
          <w:sz w:val="18"/>
          <w:szCs w:val="18"/>
        </w:rPr>
      </w:pPr>
      <w:r>
        <w:rPr>
          <w:rFonts w:hint="eastAsia" w:hAnsi="宋体"/>
          <w:b/>
          <w:bCs/>
          <w:sz w:val="18"/>
          <w:szCs w:val="18"/>
        </w:rPr>
        <w:t>（一）估值目的</w:t>
      </w:r>
    </w:p>
    <w:p>
      <w:pPr>
        <w:pStyle w:val="35"/>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5"/>
        <w:spacing w:line="360" w:lineRule="auto"/>
        <w:ind w:firstLine="361" w:firstLineChars="200"/>
        <w:rPr>
          <w:rFonts w:hAnsi="宋体"/>
          <w:b/>
          <w:bCs/>
          <w:sz w:val="18"/>
          <w:szCs w:val="18"/>
        </w:rPr>
      </w:pPr>
      <w:r>
        <w:rPr>
          <w:rFonts w:hint="eastAsia" w:hAnsi="宋体"/>
          <w:b/>
          <w:bCs/>
          <w:sz w:val="18"/>
          <w:szCs w:val="18"/>
        </w:rPr>
        <w:t>（二）估值频率</w:t>
      </w:r>
    </w:p>
    <w:p>
      <w:pPr>
        <w:pStyle w:val="35"/>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35"/>
        <w:spacing w:line="360" w:lineRule="auto"/>
        <w:ind w:firstLine="452" w:firstLineChars="250"/>
        <w:rPr>
          <w:rFonts w:hAnsi="宋体"/>
          <w:b/>
          <w:bCs/>
          <w:sz w:val="18"/>
          <w:szCs w:val="18"/>
        </w:rPr>
      </w:pPr>
      <w:r>
        <w:rPr>
          <w:rFonts w:hint="eastAsia" w:hAnsi="宋体"/>
          <w:b/>
          <w:bCs/>
          <w:sz w:val="18"/>
          <w:szCs w:val="18"/>
        </w:rPr>
        <w:t>（三）估值对象</w:t>
      </w:r>
    </w:p>
    <w:p>
      <w:pPr>
        <w:pStyle w:val="35"/>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5"/>
        <w:spacing w:line="360" w:lineRule="auto"/>
        <w:ind w:firstLine="452" w:firstLineChars="250"/>
        <w:rPr>
          <w:rFonts w:hAnsi="宋体"/>
          <w:b/>
          <w:bCs/>
          <w:sz w:val="18"/>
          <w:szCs w:val="18"/>
        </w:rPr>
      </w:pPr>
      <w:r>
        <w:rPr>
          <w:rFonts w:hint="eastAsia" w:hAnsi="宋体"/>
          <w:b/>
          <w:bCs/>
          <w:sz w:val="18"/>
          <w:szCs w:val="18"/>
        </w:rPr>
        <w:t>（四）估值方法</w:t>
      </w:r>
    </w:p>
    <w:p>
      <w:pPr>
        <w:pStyle w:val="35"/>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5"/>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5"/>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5"/>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5"/>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5"/>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5"/>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5"/>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5"/>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5"/>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5"/>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5"/>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5"/>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5"/>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5"/>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5"/>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5"/>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5"/>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5"/>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5"/>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5"/>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5"/>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5"/>
        <w:spacing w:line="360" w:lineRule="auto"/>
        <w:ind w:firstLine="360" w:firstLineChars="200"/>
        <w:rPr>
          <w:rFonts w:hAnsi="宋体"/>
          <w:sz w:val="18"/>
          <w:szCs w:val="18"/>
        </w:rPr>
      </w:pPr>
      <w:r>
        <w:rPr>
          <w:rFonts w:hint="eastAsia" w:hAnsi="宋体"/>
          <w:sz w:val="18"/>
          <w:szCs w:val="18"/>
        </w:rPr>
        <w:t>（1）非上市基金估值</w:t>
      </w:r>
    </w:p>
    <w:p>
      <w:pPr>
        <w:pStyle w:val="35"/>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5"/>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5"/>
        <w:spacing w:line="360" w:lineRule="auto"/>
        <w:ind w:firstLine="360" w:firstLineChars="200"/>
        <w:rPr>
          <w:rFonts w:hAnsi="宋体"/>
          <w:sz w:val="18"/>
          <w:szCs w:val="18"/>
        </w:rPr>
      </w:pPr>
      <w:r>
        <w:rPr>
          <w:rFonts w:hint="eastAsia" w:hAnsi="宋体"/>
          <w:sz w:val="18"/>
          <w:szCs w:val="18"/>
        </w:rPr>
        <w:t>（2）上市基金估值</w:t>
      </w:r>
    </w:p>
    <w:p>
      <w:pPr>
        <w:pStyle w:val="35"/>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5"/>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5"/>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5"/>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5"/>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5"/>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5"/>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5"/>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5"/>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5"/>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5"/>
        <w:spacing w:line="360" w:lineRule="auto"/>
        <w:ind w:firstLine="361" w:firstLineChars="200"/>
        <w:rPr>
          <w:rFonts w:hAnsi="宋体"/>
          <w:b/>
          <w:bCs/>
          <w:sz w:val="18"/>
          <w:szCs w:val="18"/>
        </w:rPr>
      </w:pPr>
      <w:r>
        <w:rPr>
          <w:rFonts w:hint="eastAsia" w:hAnsi="宋体"/>
          <w:b/>
          <w:bCs/>
          <w:sz w:val="18"/>
          <w:szCs w:val="18"/>
        </w:rPr>
        <w:t>（五）估值程序</w:t>
      </w:r>
    </w:p>
    <w:p>
      <w:pPr>
        <w:pStyle w:val="35"/>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5"/>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5"/>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5"/>
        <w:spacing w:line="360" w:lineRule="auto"/>
        <w:ind w:firstLine="361" w:firstLineChars="200"/>
        <w:rPr>
          <w:rFonts w:hAnsi="宋体"/>
          <w:b/>
          <w:bCs/>
          <w:sz w:val="18"/>
          <w:szCs w:val="18"/>
        </w:rPr>
      </w:pPr>
      <w:r>
        <w:rPr>
          <w:rFonts w:hint="eastAsia" w:hAnsi="宋体"/>
          <w:b/>
          <w:bCs/>
          <w:sz w:val="18"/>
          <w:szCs w:val="18"/>
        </w:rPr>
        <w:t>（六）估值主体</w:t>
      </w:r>
    </w:p>
    <w:p>
      <w:pPr>
        <w:pStyle w:val="35"/>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ind w:left="60" w:firstLine="10"/>
        <w:jc w:val="center"/>
        <w:rPr>
          <w:rFonts w:ascii="Times New Roman"/>
          <w:sz w:val="30"/>
        </w:rPr>
      </w:pPr>
      <w:bookmarkStart w:id="130" w:name="_Hlt70481650"/>
      <w:bookmarkEnd w:id="130"/>
      <w:bookmarkStart w:id="131" w:name="_Toc116649656"/>
      <w:bookmarkStart w:id="132" w:name="_Toc123051453"/>
      <w:bookmarkStart w:id="133" w:name="_Toc12245"/>
      <w:bookmarkStart w:id="134" w:name="_Toc3601"/>
      <w:bookmarkStart w:id="135" w:name="_Toc6405"/>
      <w:bookmarkStart w:id="136" w:name="_Toc141703887"/>
      <w:bookmarkStart w:id="137" w:name="_Toc123112235"/>
      <w:bookmarkStart w:id="138" w:name="_Toc26207"/>
      <w:bookmarkStart w:id="139" w:name="_Toc31653"/>
      <w:bookmarkStart w:id="140" w:name="_Toc79154671"/>
      <w:bookmarkStart w:id="141" w:name="_Toc98560353"/>
      <w:bookmarkStart w:id="142" w:name="_Toc123102454"/>
      <w:bookmarkStart w:id="143" w:name="_Toc74065744"/>
      <w:bookmarkStart w:id="144" w:name="_Toc29251"/>
      <w:bookmarkStart w:id="145" w:name="_Toc31644"/>
      <w:bookmarkStart w:id="146" w:name="_Toc31235"/>
      <w:bookmarkStart w:id="147" w:name="_Toc139991737"/>
      <w:bookmarkStart w:id="148" w:name="_Toc15143"/>
      <w:bookmarkStart w:id="149" w:name="_Toc148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15118234"/>
      <w:bookmarkStart w:id="153" w:name="_Toc79392580"/>
      <w:bookmarkStart w:id="154" w:name="_Toc57530239"/>
    </w:p>
    <w:p>
      <w:pPr>
        <w:pStyle w:val="35"/>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5"/>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5"/>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5"/>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5"/>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5"/>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5"/>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5"/>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5"/>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5"/>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5"/>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5"/>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jc w:val="center"/>
        <w:rPr>
          <w:rFonts w:ascii="Times New Roman"/>
          <w:sz w:val="30"/>
        </w:rPr>
      </w:pPr>
      <w:bookmarkStart w:id="155" w:name="_Hlt88825574"/>
      <w:bookmarkEnd w:id="155"/>
      <w:bookmarkStart w:id="156" w:name="_Hlt88897298"/>
      <w:bookmarkEnd w:id="156"/>
      <w:bookmarkStart w:id="157" w:name="_Toc18567"/>
      <w:bookmarkStart w:id="158" w:name="_Toc79154672"/>
      <w:bookmarkStart w:id="159" w:name="_Toc74065745"/>
      <w:bookmarkStart w:id="160" w:name="_Toc7058"/>
      <w:bookmarkStart w:id="161" w:name="_Toc123051454"/>
      <w:bookmarkStart w:id="162" w:name="_Toc3771"/>
      <w:bookmarkStart w:id="163" w:name="_Toc123102455"/>
      <w:bookmarkStart w:id="164" w:name="_Toc141703888"/>
      <w:bookmarkStart w:id="165" w:name="_Toc4559"/>
      <w:bookmarkStart w:id="166" w:name="_Toc6447"/>
      <w:bookmarkStart w:id="167" w:name="_Toc139991738"/>
      <w:bookmarkStart w:id="168" w:name="_Toc79392583"/>
      <w:bookmarkStart w:id="169" w:name="_Toc123112236"/>
      <w:bookmarkStart w:id="170" w:name="_Toc11030"/>
      <w:bookmarkStart w:id="171" w:name="_Toc116649657"/>
      <w:bookmarkStart w:id="172" w:name="_Toc10650"/>
      <w:bookmarkStart w:id="173" w:name="_Toc9706"/>
      <w:bookmarkStart w:id="174" w:name="_Toc98560354"/>
      <w:bookmarkStart w:id="175" w:name="_Toc3321"/>
      <w:bookmarkStart w:id="176"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5"/>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5"/>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5"/>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jc w:val="center"/>
      </w:pPr>
      <w:bookmarkStart w:id="177" w:name="_Toc3963"/>
      <w:bookmarkStart w:id="178" w:name="_Toc1745"/>
      <w:r>
        <w:br w:type="page"/>
      </w:r>
      <w:bookmarkStart w:id="179" w:name="_Toc139991739"/>
      <w:bookmarkStart w:id="180" w:name="_Toc725"/>
      <w:bookmarkStart w:id="181" w:name="_Toc123112237"/>
      <w:bookmarkStart w:id="182" w:name="_Toc16164"/>
      <w:bookmarkStart w:id="183" w:name="_Toc3080"/>
      <w:bookmarkStart w:id="184" w:name="_Toc18206"/>
      <w:bookmarkStart w:id="185" w:name="_Toc98560355"/>
      <w:bookmarkStart w:id="186" w:name="_Toc116649658"/>
      <w:bookmarkStart w:id="187" w:name="_Toc141703889"/>
      <w:bookmarkStart w:id="188" w:name="_Toc123051455"/>
      <w:bookmarkStart w:id="189" w:name="_Toc10398"/>
      <w:bookmarkStart w:id="190" w:name="_Toc79154673"/>
      <w:bookmarkStart w:id="191" w:name="_Toc3572"/>
      <w:bookmarkStart w:id="192" w:name="_Toc123102456"/>
      <w:bookmarkStart w:id="193" w:name="_Toc74065746"/>
      <w:bookmarkStart w:id="194" w:name="_Toc21735"/>
      <w:bookmarkStart w:id="195"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15118245"/>
      <w:bookmarkStart w:id="197" w:name="_Toc57530252"/>
      <w:bookmarkStart w:id="198"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jc w:val="center"/>
        <w:rPr>
          <w:rFonts w:ascii="Times New Roman"/>
          <w:sz w:val="30"/>
        </w:rPr>
      </w:pPr>
      <w:r>
        <w:rPr>
          <w:rFonts w:ascii="Times New Roman"/>
          <w:b w:val="0"/>
          <w:kern w:val="2"/>
        </w:rPr>
        <w:br w:type="page"/>
      </w:r>
      <w:bookmarkStart w:id="199" w:name="_Toc79392622"/>
      <w:bookmarkStart w:id="200" w:name="_Toc32092"/>
      <w:bookmarkStart w:id="201" w:name="_Toc123051456"/>
      <w:bookmarkStart w:id="202" w:name="_Toc8791"/>
      <w:bookmarkStart w:id="203" w:name="_Toc17198"/>
      <w:bookmarkStart w:id="204" w:name="_Toc98560356"/>
      <w:bookmarkStart w:id="205" w:name="_Toc79154674"/>
      <w:bookmarkStart w:id="206" w:name="_Toc29408"/>
      <w:bookmarkStart w:id="207" w:name="_Toc139991740"/>
      <w:bookmarkStart w:id="208" w:name="_Toc32584"/>
      <w:bookmarkStart w:id="209" w:name="_Toc123102457"/>
      <w:bookmarkStart w:id="210" w:name="_Toc123112238"/>
      <w:bookmarkStart w:id="211" w:name="_Toc21237"/>
      <w:bookmarkStart w:id="212" w:name="_Toc141703890"/>
      <w:bookmarkStart w:id="213" w:name="_Toc74065747"/>
      <w:bookmarkStart w:id="214" w:name="_Toc48649708"/>
      <w:bookmarkStart w:id="215" w:name="_Toc116649659"/>
      <w:bookmarkStart w:id="216" w:name="_Toc739"/>
      <w:bookmarkStart w:id="217" w:name="_Toc5170"/>
      <w:bookmarkStart w:id="218" w:name="_Toc3329"/>
      <w:bookmarkStart w:id="219" w:name="_Toc1792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36"/>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35"/>
        <w:spacing w:line="360" w:lineRule="auto"/>
        <w:rPr>
          <w:rFonts w:hAnsi="宋体"/>
          <w:sz w:val="18"/>
          <w:szCs w:val="18"/>
        </w:rPr>
      </w:pPr>
    </w:p>
    <w:p>
      <w:pPr>
        <w:sectPr>
          <w:headerReference r:id="rId6" w:type="default"/>
          <w:footerReference r:id="rId7"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35"/>
              <w:ind w:firstLine="360"/>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35"/>
        <w:spacing w:line="360" w:lineRule="auto"/>
        <w:ind w:firstLine="36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ectPr>
          <w:headerReference r:id="rId8" w:type="default"/>
          <w:footerReference r:id="rId9" w:type="default"/>
          <w:pgSz w:w="11906" w:h="16838"/>
          <w:pgMar w:top="1440" w:right="1800" w:bottom="1440" w:left="1800" w:header="567" w:footer="964"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兴银理财稳利安盈封闭式2023年39期固收类理财产品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【稳利安盈封闭式2023年39期A】（适用【A】类份额）</w:t>
      </w:r>
    </w:p>
    <w:p>
      <w:pPr>
        <w:ind w:firstLine="448" w:firstLineChars="249"/>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【稳利安盈封闭式2023年39期B】（适用【B】类份额）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【稳利安盈封闭式2023年39期C】（适用【C】类份额）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Z7002023000559</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48</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36"/>
        <w:ind w:firstLine="360"/>
        <w:rPr>
          <w:rFonts w:ascii="宋体" w:hAnsi="宋体"/>
          <w:bCs/>
          <w:sz w:val="18"/>
          <w:szCs w:val="18"/>
        </w:rPr>
      </w:pPr>
      <w:r>
        <w:rPr>
          <w:rFonts w:hint="eastAsia" w:ascii="宋体" w:hAnsi="宋体"/>
          <w:bCs/>
          <w:sz w:val="18"/>
          <w:szCs w:val="18"/>
        </w:rPr>
        <w:t>1、拟投资市场和资产的风险：</w:t>
      </w:r>
    </w:p>
    <w:p>
      <w:pPr>
        <w:pStyle w:val="36"/>
        <w:ind w:firstLine="360"/>
        <w:rPr>
          <w:rFonts w:ascii="宋体" w:hAnsi="宋体"/>
          <w:bCs/>
          <w:sz w:val="18"/>
          <w:szCs w:val="18"/>
        </w:rPr>
      </w:pPr>
      <w:r>
        <w:rPr>
          <w:rFonts w:hint="eastAsia" w:ascii="宋体" w:hAnsi="宋体"/>
          <w:bCs/>
          <w:sz w:val="18"/>
          <w:szCs w:val="18"/>
        </w:rPr>
        <w:t>（1）投资债权类资产的风险</w:t>
      </w:r>
    </w:p>
    <w:p>
      <w:pPr>
        <w:pStyle w:val="36"/>
        <w:ind w:firstLine="360"/>
        <w:rPr>
          <w:rFonts w:ascii="宋体" w:hAnsi="宋体"/>
          <w:bCs/>
          <w:sz w:val="18"/>
          <w:szCs w:val="18"/>
        </w:rPr>
      </w:pPr>
      <w:r>
        <w:rPr>
          <w:rFonts w:hint="eastAsia" w:ascii="宋体" w:hAnsi="宋体"/>
          <w:bCs/>
          <w:sz w:val="18"/>
          <w:szCs w:val="18"/>
        </w:rPr>
        <w:t>1）投资标准化债权类资产的风险</w:t>
      </w:r>
    </w:p>
    <w:p>
      <w:pPr>
        <w:pStyle w:val="36"/>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36"/>
        <w:ind w:firstLine="360"/>
        <w:rPr>
          <w:rFonts w:ascii="宋体" w:hAnsi="宋体"/>
          <w:bCs/>
          <w:sz w:val="18"/>
          <w:szCs w:val="18"/>
        </w:rPr>
      </w:pPr>
      <w:r>
        <w:rPr>
          <w:rFonts w:hint="eastAsia" w:ascii="宋体" w:hAnsi="宋体"/>
          <w:bCs/>
          <w:sz w:val="18"/>
          <w:szCs w:val="18"/>
        </w:rPr>
        <w:t>2）投资非标准化债权类资产的风险</w:t>
      </w:r>
    </w:p>
    <w:p>
      <w:pPr>
        <w:pStyle w:val="36"/>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36"/>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36"/>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36"/>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36"/>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36"/>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36"/>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36"/>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36"/>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36"/>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36"/>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36"/>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36"/>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36"/>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36"/>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36"/>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36"/>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36"/>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36"/>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36"/>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36"/>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36"/>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36"/>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36"/>
        <w:ind w:firstLineChars="0"/>
        <w:rPr>
          <w:rFonts w:ascii="宋体" w:hAnsi="宋体"/>
          <w:b/>
          <w:bCs/>
          <w:sz w:val="18"/>
          <w:szCs w:val="18"/>
        </w:rPr>
      </w:pPr>
      <w:r>
        <w:rPr>
          <w:rFonts w:hint="eastAsia" w:ascii="宋体" w:hAnsi="宋体"/>
          <w:b/>
          <w:bCs/>
          <w:sz w:val="18"/>
          <w:szCs w:val="18"/>
        </w:rPr>
        <w:t>17.关联交易风险</w:t>
      </w:r>
    </w:p>
    <w:p>
      <w:pPr>
        <w:pStyle w:val="36"/>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销售机构（【福建省农村信用社联合社】）</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
      <w:pPr>
        <w:sectPr>
          <w:headerReference r:id="rId10" w:type="default"/>
          <w:footerReference r:id="rId11"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2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35"/>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29"/>
          <w:rFonts w:hint="eastAsia" w:ascii="宋体" w:hAnsi="宋体"/>
          <w:sz w:val="18"/>
          <w:szCs w:val="18"/>
        </w:rPr>
        <w:t>9</w:t>
      </w:r>
      <w:r>
        <w:rPr>
          <w:rStyle w:val="29"/>
          <w:rFonts w:ascii="宋体" w:hAnsi="宋体"/>
          <w:sz w:val="18"/>
          <w:szCs w:val="18"/>
        </w:rPr>
        <w:t>5561</w:t>
      </w:r>
      <w:r>
        <w:rPr>
          <w:rStyle w:val="29"/>
          <w:rFonts w:hint="eastAsia" w:ascii="宋体" w:hAnsi="宋体"/>
          <w:sz w:val="18"/>
          <w:szCs w:val="18"/>
        </w:rPr>
        <w:t>@</w:t>
      </w:r>
      <w:r>
        <w:rPr>
          <w:rStyle w:val="29"/>
          <w:rFonts w:asciiTheme="minorEastAsia" w:hAnsiTheme="minorEastAsia"/>
          <w:sz w:val="18"/>
          <w:szCs w:val="18"/>
        </w:rPr>
        <w:t>cib.com.cn</w:t>
      </w:r>
      <w:r>
        <w:rPr>
          <w:rStyle w:val="29"/>
          <w:rFonts w:hint="eastAsia" w:ascii="宋体" w:hAnsi="宋体"/>
          <w:sz w:val="18"/>
          <w:szCs w:val="18"/>
        </w:rPr>
        <w:t>】</w:t>
      </w:r>
      <w:r>
        <w:rPr>
          <w:rStyle w:val="29"/>
          <w:rFonts w:hint="eastAsia" w:ascii="宋体" w:hAnsi="宋体"/>
          <w:sz w:val="18"/>
          <w:szCs w:val="18"/>
        </w:rPr>
        <w:fldChar w:fldCharType="end"/>
      </w:r>
      <w:r>
        <w:rPr>
          <w:rFonts w:hint="eastAsia" w:ascii="宋体" w:hAnsi="宋体"/>
          <w:sz w:val="18"/>
          <w:szCs w:val="18"/>
        </w:rPr>
        <w:t>。</w:t>
      </w:r>
    </w:p>
    <w:p>
      <w:pPr>
        <w:numPr>
          <w:ilvl w:val="0"/>
          <w:numId w:val="0"/>
        </w:numPr>
        <w:autoSpaceDE w:val="0"/>
        <w:autoSpaceDN w:val="0"/>
        <w:adjustRightInd w:val="0"/>
        <w:spacing w:line="280" w:lineRule="atLeast"/>
        <w:ind w:firstLine="360" w:firstLineChars="200"/>
        <w:jc w:val="left"/>
        <w:rPr>
          <w:rFonts w:hint="eastAsia" w:ascii="宋体" w:hAnsi="宋体"/>
          <w:sz w:val="18"/>
          <w:szCs w:val="18"/>
        </w:rPr>
      </w:pPr>
      <w:r>
        <w:rPr>
          <w:rFonts w:hint="eastAsia" w:ascii="宋体" w:hAnsi="宋体"/>
          <w:sz w:val="18"/>
          <w:szCs w:val="18"/>
        </w:rPr>
        <w:t>3、销售机构：</w:t>
      </w:r>
      <w:r>
        <w:rPr>
          <w:rFonts w:hint="eastAsia" w:ascii="宋体" w:hAnsi="宋体"/>
          <w:sz w:val="18"/>
          <w:szCs w:val="18"/>
          <w:lang w:val="en-US" w:eastAsia="zh-CN"/>
        </w:rPr>
        <w:t>第72页修改：</w:t>
      </w:r>
      <w:r>
        <w:rPr>
          <w:rFonts w:hint="eastAsia" w:ascii="宋体" w:hAnsi="宋体"/>
          <w:sz w:val="18"/>
          <w:szCs w:val="18"/>
        </w:rPr>
        <w:t>通过【福建省农村信用社联合社】（作为销售服务机构）购买本产品的，请联系【福建省农村信用社联合社】，【福建省农村信用社联合社】客户服务热线：【0591-96336】；【福建省农村信用社联合社】门户网站：【www.fjnx.com.cn】。</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Fonts w:hint="eastAsia" w:ascii="黑体" w:hAnsi="黑体" w:eastAsia="黑体"/>
          <w:b/>
          <w:bCs/>
          <w:sz w:val="28"/>
          <w:szCs w:val="28"/>
        </w:rPr>
        <w:t>稳利安盈封闭式</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sectPr>
      <w:headerReference r:id="rId12" w:type="default"/>
      <w:footerReference r:id="rId13"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42</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14"/>
          <w:jc w:val="center"/>
        </w:pPr>
        <w:r>
          <w:fldChar w:fldCharType="begin"/>
        </w:r>
        <w:r>
          <w:instrText xml:space="preserve">PAGE   \* MERGEFORMAT</w:instrText>
        </w:r>
        <w:r>
          <w:fldChar w:fldCharType="separate"/>
        </w:r>
        <w:r>
          <w:rPr>
            <w:lang w:val="zh-CN"/>
          </w:rPr>
          <w:t>49</w:t>
        </w:r>
        <w: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szCs w:val="20"/>
      </w:rPr>
      <w:t xml:space="preserve"> </w:t>
    </w:r>
    <w:r>
      <w:rPr>
        <w:rFonts w:hint="eastAsia"/>
        <w:b/>
      </w:rPr>
      <w:t>产品说明书</w:t>
    </w:r>
  </w:p>
  <w:p>
    <w:pPr>
      <w:pStyle w:val="15"/>
      <w:jc w:val="right"/>
      <w:rPr>
        <w:b/>
      </w:rPr>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 xml:space="preserve">                             </w:t>
    </w:r>
    <w:r>
      <w:rPr>
        <w:b/>
        <w:szCs w:val="20"/>
      </w:rPr>
      <w:t xml:space="preserve">    </w:t>
    </w:r>
    <w:r>
      <w:rPr>
        <w:rFonts w:hint="eastAsia"/>
        <w:b/>
        <w:szCs w:val="20"/>
      </w:rPr>
      <w:t xml:space="preserve"> </w:t>
    </w:r>
    <w:r>
      <w:rPr>
        <w:b/>
        <w:szCs w:val="20"/>
      </w:rPr>
      <w:t xml:space="preserve">                        </w:t>
    </w:r>
    <w:r>
      <w:rPr>
        <w:rFonts w:hint="eastAsia"/>
        <w:b/>
        <w:szCs w:val="20"/>
      </w:rPr>
      <w:t xml:space="preserve">  </w:t>
    </w:r>
    <w:r>
      <w:rPr>
        <w:b/>
        <w:szCs w:val="20"/>
      </w:rPr>
      <w:t xml:space="preserve">  </w:t>
    </w:r>
    <w:r>
      <w:rPr>
        <w:rFonts w:hint="eastAsia"/>
        <w:b/>
        <w:szCs w:val="20"/>
      </w:rPr>
      <w:t>（代理）销售协议书</w:t>
    </w:r>
  </w:p>
  <w:p>
    <w:pPr>
      <w:pStyle w:val="15"/>
      <w:jc w:val="right"/>
      <w:rPr>
        <w:b/>
        <w:szCs w:val="20"/>
      </w:rPr>
    </w:pPr>
    <w:r>
      <w:rPr>
        <w:rFonts w:hint="eastAsia"/>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风险揭示书</w:t>
    </w:r>
  </w:p>
  <w:p>
    <w:pPr>
      <w:pStyle w:val="15"/>
      <w:jc w:val="right"/>
      <w:rPr>
        <w:b/>
        <w:szCs w:val="20"/>
      </w:rPr>
    </w:pPr>
    <w:r>
      <w:rPr>
        <w:b/>
        <w:szCs w:val="20"/>
      </w:rPr>
      <w:t>注</w:t>
    </w:r>
    <w:r>
      <w:rPr>
        <w:rFonts w:hint="eastAsia"/>
        <w:b/>
        <w:szCs w:val="20"/>
      </w:rPr>
      <w:t>：</w:t>
    </w:r>
    <w:r>
      <w:rPr>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szCs w:val="20"/>
      </w:rPr>
    </w:pPr>
    <w:r>
      <w:rPr>
        <w:rFonts w:hint="eastAsia"/>
        <w:b/>
        <w:szCs w:val="20"/>
      </w:rPr>
      <w:t>投资者权益须知</w:t>
    </w:r>
  </w:p>
  <w:p>
    <w:pPr>
      <w:pStyle w:val="15"/>
      <w:jc w:val="right"/>
      <w:rPr>
        <w:b/>
        <w:szCs w:val="20"/>
      </w:rPr>
    </w:pPr>
    <w:r>
      <w:rPr>
        <w:rFonts w:hint="eastAsia"/>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47"/>
    <w:rsid w:val="000A1047"/>
    <w:rsid w:val="000C1B7B"/>
    <w:rsid w:val="00A14371"/>
    <w:rsid w:val="00E75399"/>
    <w:rsid w:val="6B93249D"/>
    <w:rsid w:val="782F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4"/>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after="260" w:line="413" w:lineRule="auto"/>
      <w:outlineLvl w:val="2"/>
    </w:pPr>
    <w:rPr>
      <w:b/>
      <w:sz w:val="32"/>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41"/>
    <w:qFormat/>
    <w:uiPriority w:val="0"/>
    <w:pPr>
      <w:shd w:val="clear" w:color="auto" w:fill="000080"/>
    </w:pPr>
  </w:style>
  <w:style w:type="paragraph" w:styleId="8">
    <w:name w:val="annotation text"/>
    <w:basedOn w:val="1"/>
    <w:link w:val="42"/>
    <w:qFormat/>
    <w:uiPriority w:val="99"/>
    <w:pPr>
      <w:widowControl/>
      <w:jc w:val="left"/>
    </w:pPr>
    <w:rPr>
      <w:rFonts w:ascii="宋体" w:hAnsi="宋体" w:cs="宋体"/>
      <w:kern w:val="0"/>
      <w:sz w:val="24"/>
      <w:szCs w:val="24"/>
    </w:rPr>
  </w:style>
  <w:style w:type="paragraph" w:styleId="9">
    <w:name w:val="Body Text"/>
    <w:basedOn w:val="1"/>
    <w:link w:val="43"/>
    <w:qFormat/>
    <w:uiPriority w:val="0"/>
    <w:pPr>
      <w:autoSpaceDE w:val="0"/>
      <w:autoSpaceDN w:val="0"/>
      <w:adjustRightInd w:val="0"/>
      <w:spacing w:line="360" w:lineRule="auto"/>
      <w:jc w:val="left"/>
    </w:pPr>
    <w:rPr>
      <w:rFonts w:ascii="宋体" w:hAnsi="Calibri" w:cs="宋体"/>
      <w:kern w:val="0"/>
      <w:sz w:val="20"/>
    </w:rPr>
  </w:style>
  <w:style w:type="paragraph" w:styleId="10">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11">
    <w:name w:val="Plain Text"/>
    <w:basedOn w:val="1"/>
    <w:link w:val="44"/>
    <w:qFormat/>
    <w:uiPriority w:val="0"/>
    <w:pPr>
      <w:adjustRightInd w:val="0"/>
      <w:spacing w:line="312" w:lineRule="atLeast"/>
      <w:textAlignment w:val="baseline"/>
    </w:pPr>
    <w:rPr>
      <w:rFonts w:ascii="宋体" w:hAnsi="Courier New"/>
      <w:kern w:val="0"/>
    </w:rPr>
  </w:style>
  <w:style w:type="paragraph" w:styleId="12">
    <w:name w:val="Body Text Indent 2"/>
    <w:basedOn w:val="1"/>
    <w:link w:val="45"/>
    <w:qFormat/>
    <w:uiPriority w:val="0"/>
    <w:pPr>
      <w:spacing w:line="360" w:lineRule="auto"/>
      <w:ind w:firstLine="425"/>
    </w:pPr>
    <w:rPr>
      <w:rFonts w:ascii="仿宋_GB2312" w:eastAsia="仿宋_GB2312"/>
      <w:sz w:val="28"/>
    </w:rPr>
  </w:style>
  <w:style w:type="paragraph" w:styleId="13">
    <w:name w:val="Balloon Text"/>
    <w:basedOn w:val="1"/>
    <w:link w:val="46"/>
    <w:qFormat/>
    <w:uiPriority w:val="99"/>
    <w:rPr>
      <w:rFonts w:ascii="Calibri" w:hAnsi="Calibri" w:cs="宋体"/>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link w:val="47"/>
    <w:qFormat/>
    <w:uiPriority w:val="0"/>
    <w:pPr>
      <w:snapToGrid w:val="0"/>
      <w:jc w:val="left"/>
    </w:pPr>
    <w:rPr>
      <w:sz w:val="18"/>
    </w:rPr>
  </w:style>
  <w:style w:type="paragraph" w:styleId="18">
    <w:name w:val="Body Text Indent 3"/>
    <w:basedOn w:val="1"/>
    <w:link w:val="48"/>
    <w:qFormat/>
    <w:uiPriority w:val="0"/>
    <w:pPr>
      <w:autoSpaceDE w:val="0"/>
      <w:autoSpaceDN w:val="0"/>
      <w:adjustRightInd w:val="0"/>
      <w:spacing w:line="360" w:lineRule="auto"/>
      <w:ind w:left="420" w:firstLine="435"/>
    </w:pPr>
    <w:rPr>
      <w:color w:val="0000FF"/>
    </w:rPr>
  </w:style>
  <w:style w:type="paragraph" w:styleId="19">
    <w:name w:val="toc 2"/>
    <w:basedOn w:val="1"/>
    <w:next w:val="1"/>
    <w:qFormat/>
    <w:uiPriority w:val="39"/>
    <w:pPr>
      <w:widowControl/>
      <w:spacing w:after="100" w:line="276" w:lineRule="auto"/>
      <w:ind w:left="220"/>
      <w:jc w:val="left"/>
    </w:pPr>
    <w:rPr>
      <w:rFonts w:ascii="Calibri" w:hAnsi="Calibri" w:cs="宋体"/>
      <w:kern w:val="0"/>
      <w:sz w:val="22"/>
      <w:szCs w:val="22"/>
    </w:rPr>
  </w:style>
  <w:style w:type="paragraph" w:styleId="20">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0"/>
    <w:qFormat/>
    <w:uiPriority w:val="0"/>
    <w:pPr>
      <w:spacing w:before="240" w:after="60"/>
      <w:jc w:val="center"/>
      <w:outlineLvl w:val="0"/>
    </w:pPr>
    <w:rPr>
      <w:rFonts w:ascii="Cambria" w:hAnsi="Cambria" w:cs="宋体"/>
      <w:b/>
      <w:sz w:val="32"/>
    </w:rPr>
  </w:style>
  <w:style w:type="paragraph" w:styleId="23">
    <w:name w:val="annotation subject"/>
    <w:basedOn w:val="8"/>
    <w:next w:val="8"/>
    <w:link w:val="51"/>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character" w:customStyle="1" w:styleId="34">
    <w:name w:val="标题 1 Char"/>
    <w:basedOn w:val="26"/>
    <w:link w:val="2"/>
    <w:qFormat/>
    <w:uiPriority w:val="9"/>
    <w:rPr>
      <w:rFonts w:ascii="宋体" w:hAnsi="Times New Roman" w:eastAsia="宋体" w:cs="Times New Roman"/>
      <w:b/>
      <w:color w:val="000000"/>
      <w:kern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6">
    <w:name w:val="List Paragraph"/>
    <w:basedOn w:val="1"/>
    <w:qFormat/>
    <w:uiPriority w:val="0"/>
    <w:pPr>
      <w:ind w:firstLine="420" w:firstLineChars="200"/>
    </w:p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38">
    <w:name w:val="标题 2 Char"/>
    <w:basedOn w:val="26"/>
    <w:link w:val="3"/>
    <w:qFormat/>
    <w:uiPriority w:val="0"/>
    <w:rPr>
      <w:rFonts w:ascii="Arial" w:hAnsi="Arial" w:eastAsia="黑体" w:cs="Times New Roman"/>
      <w:b/>
      <w:sz w:val="32"/>
      <w:szCs w:val="20"/>
    </w:rPr>
  </w:style>
  <w:style w:type="character" w:customStyle="1" w:styleId="39">
    <w:name w:val="标题 3 Char"/>
    <w:basedOn w:val="26"/>
    <w:link w:val="4"/>
    <w:qFormat/>
    <w:uiPriority w:val="0"/>
    <w:rPr>
      <w:rFonts w:ascii="Times New Roman" w:hAnsi="Times New Roman" w:eastAsia="宋体" w:cs="Times New Roman"/>
      <w:b/>
      <w:sz w:val="32"/>
      <w:szCs w:val="20"/>
    </w:rPr>
  </w:style>
  <w:style w:type="character" w:customStyle="1" w:styleId="40">
    <w:name w:val="标题 4 Char"/>
    <w:basedOn w:val="26"/>
    <w:link w:val="5"/>
    <w:semiHidden/>
    <w:qFormat/>
    <w:uiPriority w:val="9"/>
    <w:rPr>
      <w:rFonts w:asciiTheme="majorHAnsi" w:hAnsiTheme="majorHAnsi" w:eastAsiaTheme="majorEastAsia" w:cstheme="majorBidi"/>
      <w:b/>
      <w:bCs/>
      <w:sz w:val="28"/>
      <w:szCs w:val="28"/>
    </w:rPr>
  </w:style>
  <w:style w:type="character" w:customStyle="1" w:styleId="41">
    <w:name w:val="文档结构图 Char"/>
    <w:basedOn w:val="26"/>
    <w:link w:val="7"/>
    <w:qFormat/>
    <w:uiPriority w:val="0"/>
    <w:rPr>
      <w:rFonts w:ascii="Times New Roman" w:hAnsi="Times New Roman" w:eastAsia="宋体" w:cs="Times New Roman"/>
      <w:szCs w:val="20"/>
      <w:shd w:val="clear" w:color="auto" w:fill="000080"/>
    </w:rPr>
  </w:style>
  <w:style w:type="character" w:customStyle="1" w:styleId="42">
    <w:name w:val="批注文字 Char"/>
    <w:basedOn w:val="26"/>
    <w:link w:val="8"/>
    <w:qFormat/>
    <w:uiPriority w:val="99"/>
    <w:rPr>
      <w:rFonts w:ascii="宋体" w:hAnsi="宋体" w:eastAsia="宋体" w:cs="宋体"/>
      <w:kern w:val="0"/>
      <w:sz w:val="24"/>
      <w:szCs w:val="24"/>
    </w:rPr>
  </w:style>
  <w:style w:type="character" w:customStyle="1" w:styleId="43">
    <w:name w:val="正文文本 Char"/>
    <w:basedOn w:val="26"/>
    <w:link w:val="9"/>
    <w:qFormat/>
    <w:uiPriority w:val="0"/>
    <w:rPr>
      <w:rFonts w:ascii="宋体" w:hAnsi="Calibri" w:eastAsia="宋体" w:cs="宋体"/>
      <w:kern w:val="0"/>
      <w:sz w:val="20"/>
      <w:szCs w:val="20"/>
    </w:rPr>
  </w:style>
  <w:style w:type="character" w:customStyle="1" w:styleId="44">
    <w:name w:val="纯文本 Char"/>
    <w:basedOn w:val="26"/>
    <w:link w:val="11"/>
    <w:qFormat/>
    <w:uiPriority w:val="0"/>
    <w:rPr>
      <w:rFonts w:ascii="宋体" w:hAnsi="Courier New" w:eastAsia="宋体" w:cs="Times New Roman"/>
      <w:kern w:val="0"/>
      <w:szCs w:val="20"/>
    </w:rPr>
  </w:style>
  <w:style w:type="character" w:customStyle="1" w:styleId="45">
    <w:name w:val="正文文本缩进 2 Char"/>
    <w:basedOn w:val="26"/>
    <w:link w:val="12"/>
    <w:qFormat/>
    <w:uiPriority w:val="0"/>
    <w:rPr>
      <w:rFonts w:ascii="仿宋_GB2312" w:hAnsi="Times New Roman" w:eastAsia="仿宋_GB2312" w:cs="Times New Roman"/>
      <w:sz w:val="28"/>
      <w:szCs w:val="20"/>
    </w:rPr>
  </w:style>
  <w:style w:type="character" w:customStyle="1" w:styleId="46">
    <w:name w:val="批注框文本 Char"/>
    <w:basedOn w:val="26"/>
    <w:link w:val="13"/>
    <w:qFormat/>
    <w:uiPriority w:val="99"/>
    <w:rPr>
      <w:rFonts w:ascii="Calibri" w:hAnsi="Calibri" w:eastAsia="宋体" w:cs="宋体"/>
      <w:sz w:val="18"/>
      <w:szCs w:val="18"/>
    </w:rPr>
  </w:style>
  <w:style w:type="character" w:customStyle="1" w:styleId="47">
    <w:name w:val="脚注文本 Char"/>
    <w:basedOn w:val="26"/>
    <w:link w:val="17"/>
    <w:qFormat/>
    <w:uiPriority w:val="0"/>
    <w:rPr>
      <w:rFonts w:ascii="Times New Roman" w:hAnsi="Times New Roman" w:eastAsia="宋体" w:cs="Times New Roman"/>
      <w:sz w:val="18"/>
      <w:szCs w:val="20"/>
    </w:rPr>
  </w:style>
  <w:style w:type="character" w:customStyle="1" w:styleId="48">
    <w:name w:val="正文文本缩进 3 Char"/>
    <w:basedOn w:val="26"/>
    <w:link w:val="18"/>
    <w:qFormat/>
    <w:uiPriority w:val="0"/>
    <w:rPr>
      <w:rFonts w:ascii="Times New Roman" w:hAnsi="Times New Roman" w:eastAsia="宋体" w:cs="Times New Roman"/>
      <w:color w:val="0000FF"/>
      <w:szCs w:val="20"/>
    </w:rPr>
  </w:style>
  <w:style w:type="character" w:customStyle="1" w:styleId="49">
    <w:name w:val="HTML 预设格式 Char"/>
    <w:basedOn w:val="26"/>
    <w:link w:val="20"/>
    <w:qFormat/>
    <w:uiPriority w:val="99"/>
    <w:rPr>
      <w:rFonts w:ascii="宋体" w:hAnsi="宋体" w:eastAsia="宋体" w:cs="宋体"/>
      <w:kern w:val="0"/>
      <w:sz w:val="24"/>
      <w:szCs w:val="24"/>
    </w:rPr>
  </w:style>
  <w:style w:type="character" w:customStyle="1" w:styleId="50">
    <w:name w:val="标题 Char"/>
    <w:basedOn w:val="26"/>
    <w:link w:val="22"/>
    <w:qFormat/>
    <w:uiPriority w:val="0"/>
    <w:rPr>
      <w:rFonts w:ascii="Cambria" w:hAnsi="Cambria" w:eastAsia="宋体" w:cs="宋体"/>
      <w:b/>
      <w:sz w:val="32"/>
      <w:szCs w:val="20"/>
    </w:rPr>
  </w:style>
  <w:style w:type="character" w:customStyle="1" w:styleId="51">
    <w:name w:val="批注主题 Char"/>
    <w:basedOn w:val="42"/>
    <w:link w:val="23"/>
    <w:qFormat/>
    <w:uiPriority w:val="0"/>
    <w:rPr>
      <w:rFonts w:ascii="Calibri" w:hAnsi="Calibri" w:eastAsia="宋体" w:cs="宋体"/>
      <w:b/>
      <w:bCs/>
      <w:kern w:val="0"/>
      <w:sz w:val="24"/>
      <w:szCs w:val="24"/>
    </w:rPr>
  </w:style>
  <w:style w:type="paragraph" w:customStyle="1" w:styleId="5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修订1"/>
    <w:qFormat/>
    <w:uiPriority w:val="99"/>
    <w:rPr>
      <w:rFonts w:ascii="Calibri" w:hAnsi="Calibri" w:eastAsia="宋体" w:cs="宋体"/>
      <w:kern w:val="2"/>
      <w:sz w:val="21"/>
      <w:szCs w:val="22"/>
      <w:lang w:val="en-US" w:eastAsia="zh-CN" w:bidi="ar-SA"/>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修订2"/>
    <w:hidden/>
    <w:semiHidden/>
    <w:qFormat/>
    <w:uiPriority w:val="99"/>
    <w:rPr>
      <w:rFonts w:ascii="Calibri" w:hAnsi="Calibri" w:eastAsia="宋体" w:cs="宋体"/>
      <w:kern w:val="2"/>
      <w:sz w:val="21"/>
      <w:szCs w:val="22"/>
      <w:lang w:val="en-US" w:eastAsia="zh-CN" w:bidi="ar-SA"/>
    </w:rPr>
  </w:style>
  <w:style w:type="character" w:customStyle="1" w:styleId="56">
    <w:name w:val="批注文字 Char1"/>
    <w:basedOn w:val="26"/>
    <w:qFormat/>
    <w:uiPriority w:val="0"/>
    <w:rPr>
      <w:kern w:val="2"/>
      <w:sz w:val="21"/>
    </w:rPr>
  </w:style>
  <w:style w:type="paragraph" w:customStyle="1" w:styleId="57">
    <w:name w:val="修订3"/>
    <w:hidden/>
    <w:semiHidden/>
    <w:qFormat/>
    <w:uiPriority w:val="99"/>
    <w:rPr>
      <w:rFonts w:ascii="Calibri" w:hAnsi="Calibri" w:eastAsia="宋体" w:cs="宋体"/>
      <w:kern w:val="2"/>
      <w:sz w:val="21"/>
      <w:szCs w:val="22"/>
      <w:lang w:val="en-US" w:eastAsia="zh-CN" w:bidi="ar-SA"/>
    </w:rPr>
  </w:style>
  <w:style w:type="paragraph" w:customStyle="1" w:styleId="5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sz w:val="28"/>
      <w:szCs w:val="28"/>
    </w:rPr>
  </w:style>
  <w:style w:type="character" w:customStyle="1" w:styleId="59">
    <w:name w:val="unnamed11"/>
    <w:qFormat/>
    <w:uiPriority w:val="0"/>
    <w:rPr>
      <w:rFonts w:hint="eastAsia" w:ascii="宋体" w:hAnsi="宋体" w:eastAsia="宋体"/>
      <w:sz w:val="18"/>
    </w:rPr>
  </w:style>
  <w:style w:type="character" w:customStyle="1" w:styleId="60">
    <w:name w:val="read"/>
    <w:basedOn w:val="26"/>
    <w:qFormat/>
    <w:uiPriority w:val="0"/>
  </w:style>
  <w:style w:type="paragraph" w:customStyle="1" w:styleId="61">
    <w:name w:val="Char"/>
    <w:basedOn w:val="1"/>
    <w:qFormat/>
    <w:uiPriority w:val="0"/>
  </w:style>
  <w:style w:type="paragraph" w:customStyle="1" w:styleId="62">
    <w:name w:val="Char Char Char Char"/>
    <w:basedOn w:val="1"/>
    <w:qFormat/>
    <w:uiPriority w:val="0"/>
    <w:pPr>
      <w:tabs>
        <w:tab w:val="left" w:pos="360"/>
      </w:tabs>
    </w:pPr>
  </w:style>
  <w:style w:type="paragraph" w:customStyle="1" w:styleId="63">
    <w:name w:val="Char Char1"/>
    <w:basedOn w:val="1"/>
    <w:qFormat/>
    <w:uiPriority w:val="0"/>
  </w:style>
  <w:style w:type="paragraph" w:customStyle="1" w:styleId="64">
    <w:name w:val="unnamed1"/>
    <w:basedOn w:val="1"/>
    <w:qFormat/>
    <w:uiPriority w:val="0"/>
    <w:pPr>
      <w:spacing w:before="60" w:after="60"/>
      <w:ind w:left="15" w:right="15"/>
    </w:pPr>
    <w:rPr>
      <w:rFonts w:hint="eastAsia" w:ascii="宋体" w:hAnsi="宋体"/>
      <w:color w:val="000000"/>
      <w:sz w:val="18"/>
      <w:szCs w:val="18"/>
    </w:rPr>
  </w:style>
  <w:style w:type="paragraph" w:customStyle="1" w:styleId="65">
    <w:name w:val="正文正文"/>
    <w:basedOn w:val="1"/>
    <w:qFormat/>
    <w:uiPriority w:val="0"/>
    <w:pPr>
      <w:spacing w:afterLines="25" w:line="360" w:lineRule="auto"/>
      <w:ind w:firstLine="200" w:firstLineChars="200"/>
    </w:pPr>
    <w:rPr>
      <w:sz w:val="24"/>
    </w:rPr>
  </w:style>
  <w:style w:type="paragraph" w:customStyle="1" w:styleId="66">
    <w:name w:val="Char2"/>
    <w:basedOn w:val="1"/>
    <w:qFormat/>
    <w:uiPriority w:val="0"/>
  </w:style>
  <w:style w:type="paragraph" w:customStyle="1" w:styleId="67">
    <w:name w:val="Char Char"/>
    <w:basedOn w:val="1"/>
    <w:qFormat/>
    <w:uiPriority w:val="0"/>
  </w:style>
  <w:style w:type="character" w:customStyle="1" w:styleId="68">
    <w:name w:val="正文文本 Char1"/>
    <w:basedOn w:val="26"/>
    <w:semiHidden/>
    <w:qFormat/>
    <w:uiPriority w:val="99"/>
    <w:rPr>
      <w:kern w:val="2"/>
      <w:sz w:val="21"/>
      <w:szCs w:val="22"/>
    </w:rPr>
  </w:style>
  <w:style w:type="character" w:customStyle="1" w:styleId="69">
    <w:name w:val="标题 Char1"/>
    <w:basedOn w:val="26"/>
    <w:qFormat/>
    <w:uiPriority w:val="10"/>
    <w:rPr>
      <w:rFonts w:asciiTheme="majorHAnsi" w:hAnsiTheme="majorHAnsi" w:cstheme="majorBidi"/>
      <w:b/>
      <w:bCs/>
      <w:kern w:val="2"/>
      <w:sz w:val="32"/>
      <w:szCs w:val="32"/>
    </w:rPr>
  </w:style>
  <w:style w:type="paragraph" w:customStyle="1" w:styleId="70">
    <w:name w:val="Char Char Char"/>
    <w:basedOn w:val="1"/>
    <w:qFormat/>
    <w:uiPriority w:val="0"/>
  </w:style>
  <w:style w:type="paragraph" w:customStyle="1" w:styleId="71">
    <w:name w:val="msonormal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2">
    <w:name w:val="List_bullet"/>
    <w:basedOn w:val="1"/>
    <w:qFormat/>
    <w:uiPriority w:val="0"/>
    <w:pPr>
      <w:widowControl/>
      <w:numPr>
        <w:ilvl w:val="0"/>
        <w:numId w:val="1"/>
      </w:numPr>
      <w:jc w:val="left"/>
    </w:pPr>
    <w:rPr>
      <w:kern w:val="0"/>
      <w:sz w:val="24"/>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74">
    <w:name w:val="正文所"/>
    <w:basedOn w:val="1"/>
    <w:qFormat/>
    <w:uiPriority w:val="0"/>
    <w:pPr>
      <w:spacing w:line="360" w:lineRule="auto"/>
      <w:ind w:firstLine="420" w:firstLineChars="200"/>
    </w:pPr>
    <w:rPr>
      <w:rFonts w:ascii="宋体"/>
    </w:rPr>
  </w:style>
  <w:style w:type="paragraph" w:customStyle="1" w:styleId="75">
    <w:name w:val="Char Char6"/>
    <w:basedOn w:val="1"/>
    <w:qFormat/>
    <w:uiPriority w:val="0"/>
  </w:style>
  <w:style w:type="paragraph" w:customStyle="1" w:styleId="76">
    <w:name w:val="Char Char Char Char1"/>
    <w:basedOn w:val="1"/>
    <w:qFormat/>
    <w:uiPriority w:val="0"/>
    <w:pPr>
      <w:tabs>
        <w:tab w:val="left" w:pos="360"/>
      </w:tabs>
    </w:pPr>
  </w:style>
  <w:style w:type="paragraph" w:customStyle="1" w:styleId="77">
    <w:name w:val="Char Char11"/>
    <w:basedOn w:val="1"/>
    <w:qFormat/>
    <w:uiPriority w:val="0"/>
  </w:style>
  <w:style w:type="paragraph" w:customStyle="1" w:styleId="78">
    <w:name w:val="Char1"/>
    <w:basedOn w:val="1"/>
    <w:qFormat/>
    <w:uiPriority w:val="0"/>
  </w:style>
  <w:style w:type="paragraph" w:customStyle="1" w:styleId="79">
    <w:name w:val="Char Char5"/>
    <w:basedOn w:val="1"/>
    <w:qFormat/>
    <w:uiPriority w:val="0"/>
  </w:style>
  <w:style w:type="paragraph" w:customStyle="1" w:styleId="80">
    <w:name w:val="Char Char Char1"/>
    <w:basedOn w:val="1"/>
    <w:qFormat/>
    <w:uiPriority w:val="0"/>
  </w:style>
  <w:style w:type="paragraph" w:customStyle="1" w:styleId="81">
    <w:name w:val="Char Char4"/>
    <w:basedOn w:val="1"/>
    <w:qFormat/>
    <w:uiPriority w:val="0"/>
  </w:style>
  <w:style w:type="paragraph" w:customStyle="1" w:styleId="82">
    <w:name w:val="Char Char3"/>
    <w:basedOn w:val="1"/>
    <w:qFormat/>
    <w:uiPriority w:val="0"/>
  </w:style>
  <w:style w:type="paragraph" w:customStyle="1" w:styleId="83">
    <w:name w:val="Char Char2"/>
    <w:basedOn w:val="1"/>
    <w:qFormat/>
    <w:uiPriority w:val="0"/>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7390</Words>
  <Characters>42123</Characters>
  <Lines>351</Lines>
  <Paragraphs>98</Paragraphs>
  <TotalTime>0</TotalTime>
  <ScaleCrop>false</ScaleCrop>
  <LinksUpToDate>false</LinksUpToDate>
  <CharactersWithSpaces>49415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2023-09-19T02:35:00Z</dcterms:created>
  <dc:creator>财富云维护服务台</dc:creator>
  <cp:lastModifiedBy>曹云灏</cp:lastModifiedBy>
  <dcterms:modified xsi:type="dcterms:W3CDTF">2023-09-19T10:02:51Z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