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8255" b="13335"/>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r>
        <w:rPr>
          <w:rStyle w:val="10"/>
          <w:rFonts w:hint="eastAsia" w:ascii="黑体" w:hAnsi="黑体" w:eastAsia="黑体"/>
          <w:sz w:val="44"/>
          <w:szCs w:val="44"/>
        </w:rPr>
        <w:t>稳利安盈封闭式</w:t>
      </w:r>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8"/>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兴银理财稳利安盈封闭式理财产品产品说明书</w:t>
            </w:r>
          </w:p>
        </w:tc>
        <w:tc>
          <w:tcPr>
            <w:tcW w:w="1984" w:type="dxa"/>
          </w:tcPr>
          <w:p>
            <w:pPr>
              <w:pStyle w:val="12"/>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兴银理财稳利安盈封闭式理财产品（代理）销售协议书</w:t>
            </w:r>
          </w:p>
        </w:tc>
        <w:tc>
          <w:tcPr>
            <w:tcW w:w="1984" w:type="dxa"/>
          </w:tcPr>
          <w:p>
            <w:pPr>
              <w:pStyle w:val="12"/>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12"/>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12"/>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8255" b="13335"/>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兴银理财稳利安盈封闭式理财产品</w:t>
      </w: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10"/>
          <w:rFonts w:ascii="宋体" w:hAnsi="宋体"/>
          <w:sz w:val="28"/>
          <w:szCs w:val="28"/>
        </w:rPr>
      </w:pPr>
      <w:bookmarkStart w:id="0" w:name="_Toc139991726"/>
      <w:bookmarkStart w:id="1" w:name="_Toc139992301"/>
      <w:bookmarkStart w:id="2" w:name="_Toc123112263"/>
      <w:bookmarkStart w:id="3" w:name="_Toc123112224"/>
      <w:bookmarkStart w:id="4" w:name="_Toc123701383"/>
      <w:r>
        <w:rPr>
          <w:rStyle w:val="10"/>
          <w:rFonts w:hint="eastAsia" w:ascii="宋体" w:hAnsi="宋体"/>
          <w:sz w:val="28"/>
          <w:szCs w:val="28"/>
        </w:rPr>
        <w:t>理财产品管理人：</w:t>
      </w:r>
      <w:bookmarkEnd w:id="0"/>
      <w:bookmarkEnd w:id="1"/>
      <w:bookmarkEnd w:id="2"/>
      <w:bookmarkEnd w:id="3"/>
      <w:bookmarkEnd w:id="4"/>
      <w:r>
        <w:rPr>
          <w:rStyle w:val="10"/>
          <w:rFonts w:hint="eastAsia" w:ascii="宋体" w:hAnsi="宋体"/>
          <w:sz w:val="28"/>
          <w:szCs w:val="28"/>
        </w:rPr>
        <w:t>兴银理财有限责任公司</w:t>
      </w:r>
    </w:p>
    <w:p>
      <w:pPr>
        <w:adjustRightInd w:val="0"/>
        <w:spacing w:line="360" w:lineRule="auto"/>
        <w:jc w:val="center"/>
        <w:rPr>
          <w:rStyle w:val="10"/>
          <w:rFonts w:ascii="黑体" w:hAnsi="黑体" w:eastAsia="黑体" w:cs="宋体"/>
          <w:sz w:val="28"/>
          <w:szCs w:val="28"/>
        </w:rPr>
      </w:pPr>
      <w:bookmarkStart w:id="5" w:name="_Toc123701384"/>
      <w:bookmarkStart w:id="6" w:name="_Toc123112225"/>
      <w:bookmarkStart w:id="7" w:name="_Toc123112264"/>
      <w:bookmarkStart w:id="8" w:name="_Toc139992302"/>
      <w:bookmarkStart w:id="9" w:name="_Toc139991727"/>
    </w:p>
    <w:bookmarkEnd w:id="5"/>
    <w:bookmarkEnd w:id="6"/>
    <w:bookmarkEnd w:id="7"/>
    <w:bookmarkEnd w:id="8"/>
    <w:bookmarkEnd w:id="9"/>
    <w:p>
      <w:pPr>
        <w:adjustRightInd w:val="0"/>
        <w:spacing w:line="360" w:lineRule="auto"/>
        <w:jc w:val="center"/>
        <w:rPr>
          <w:rStyle w:val="10"/>
          <w:rFonts w:ascii="黑体" w:hAnsi="黑体" w:eastAsia="黑体" w:cs="宋体"/>
          <w:sz w:val="28"/>
          <w:szCs w:val="28"/>
        </w:rPr>
      </w:pPr>
    </w:p>
    <w:p>
      <w:pPr>
        <w:adjustRightInd w:val="0"/>
        <w:spacing w:line="360" w:lineRule="auto"/>
        <w:jc w:val="center"/>
        <w:rPr>
          <w:rStyle w:val="10"/>
          <w:rFonts w:ascii="宋体" w:hAnsi="宋体"/>
          <w:sz w:val="28"/>
          <w:szCs w:val="28"/>
        </w:rPr>
      </w:pPr>
      <w:r>
        <w:rPr>
          <w:rStyle w:val="10"/>
          <w:rFonts w:hint="eastAsia" w:ascii="宋体" w:hAnsi="宋体"/>
          <w:sz w:val="28"/>
          <w:szCs w:val="28"/>
        </w:rPr>
        <w:t>日期</w:t>
      </w:r>
      <w:r>
        <w:rPr>
          <w:rStyle w:val="10"/>
          <w:rFonts w:ascii="宋体" w:hAnsi="宋体"/>
          <w:sz w:val="28"/>
          <w:szCs w:val="28"/>
        </w:rPr>
        <w:t>：</w:t>
      </w:r>
      <w:r>
        <w:rPr>
          <w:rStyle w:val="10"/>
          <w:rFonts w:hint="eastAsia" w:ascii="宋体" w:hAnsi="宋体"/>
          <w:sz w:val="28"/>
          <w:szCs w:val="28"/>
        </w:rPr>
        <w:t>【</w:t>
      </w:r>
      <w:r>
        <w:rPr>
          <w:rStyle w:val="10"/>
          <w:rFonts w:ascii="宋体" w:hAnsi="宋体"/>
          <w:sz w:val="28"/>
          <w:szCs w:val="28"/>
        </w:rPr>
        <w:t>2023</w:t>
      </w:r>
      <w:r>
        <w:rPr>
          <w:rStyle w:val="10"/>
          <w:rFonts w:hint="eastAsia" w:ascii="宋体" w:hAnsi="宋体"/>
          <w:sz w:val="28"/>
          <w:szCs w:val="28"/>
        </w:rPr>
        <w:t>】年【</w:t>
      </w:r>
      <w:r>
        <w:rPr>
          <w:rStyle w:val="10"/>
          <w:rFonts w:ascii="宋体" w:hAnsi="宋体"/>
          <w:sz w:val="28"/>
          <w:szCs w:val="28"/>
        </w:rPr>
        <w:t>7</w:t>
      </w:r>
      <w:r>
        <w:rPr>
          <w:rStyle w:val="10"/>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8"/>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6"/>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39991729"/>
      <w:bookmarkStart w:id="12" w:name="_Toc123112266"/>
      <w:bookmarkStart w:id="13" w:name="_Toc123112227"/>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7"/>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4"/>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4"/>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4"/>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64"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13"/>
            <w:spacing w:line="360" w:lineRule="auto"/>
            <w:jc w:val="center"/>
          </w:pPr>
          <w:r>
            <w:rPr>
              <w:lang w:val="zh-CN"/>
            </w:rPr>
            <w:t>目录</w:t>
          </w:r>
        </w:p>
        <w:p>
          <w:pPr>
            <w:pStyle w:val="5"/>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"_Toc111714032" </w:instrText>
          </w:r>
          <w:r>
            <w:fldChar w:fldCharType="separate"/>
          </w:r>
          <w:r>
            <w:rPr>
              <w:rStyle w:val="11"/>
              <w:rFonts w:hint="eastAsia"/>
            </w:rPr>
            <w:t>第一条</w:t>
          </w:r>
          <w:r>
            <w:rPr>
              <w:rStyle w:val="11"/>
            </w:rPr>
            <w:t xml:space="preserve">  </w:t>
          </w:r>
          <w:r>
            <w:rPr>
              <w:rStyle w:val="11"/>
              <w:rFonts w:hint="eastAsia"/>
            </w:rPr>
            <w:t>前言</w:t>
          </w:r>
          <w:r>
            <w:tab/>
          </w:r>
          <w:r>
            <w:fldChar w:fldCharType="begin"/>
          </w:r>
          <w:r>
            <w:instrText xml:space="preserve"> PAGEREF _Toc111714032 \h </w:instrText>
          </w:r>
          <w:r>
            <w:fldChar w:fldCharType="separate"/>
          </w:r>
          <w:r>
            <w:t>1</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"_Toc111714033" </w:instrText>
          </w:r>
          <w:r>
            <w:fldChar w:fldCharType="separate"/>
          </w:r>
          <w:r>
            <w:rPr>
              <w:rStyle w:val="11"/>
              <w:rFonts w:hint="eastAsia"/>
            </w:rPr>
            <w:t>第二条</w:t>
          </w:r>
          <w:r>
            <w:rPr>
              <w:rStyle w:val="11"/>
            </w:rPr>
            <w:t xml:space="preserve">  </w:t>
          </w:r>
          <w:r>
            <w:rPr>
              <w:rStyle w:val="11"/>
              <w:rFonts w:hint="eastAsia"/>
            </w:rPr>
            <w:t>双方权利义务</w:t>
          </w:r>
          <w:r>
            <w:tab/>
          </w:r>
          <w:r>
            <w:fldChar w:fldCharType="begin"/>
          </w:r>
          <w:r>
            <w:instrText xml:space="preserve"> PAGEREF _Toc111714033 \h </w:instrText>
          </w:r>
          <w:r>
            <w:fldChar w:fldCharType="separate"/>
          </w:r>
          <w:r>
            <w:t>2</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"_Toc111714034" </w:instrText>
          </w:r>
          <w:r>
            <w:fldChar w:fldCharType="separate"/>
          </w:r>
          <w:r>
            <w:rPr>
              <w:rStyle w:val="11"/>
              <w:rFonts w:hint="eastAsia"/>
            </w:rPr>
            <w:t>第三条</w:t>
          </w:r>
          <w:r>
            <w:rPr>
              <w:rStyle w:val="11"/>
            </w:rPr>
            <w:t xml:space="preserve">  </w:t>
          </w:r>
          <w:r>
            <w:rPr>
              <w:rStyle w:val="11"/>
              <w:rFonts w:hint="eastAsia"/>
            </w:rPr>
            <w:t>不可抗力</w:t>
          </w:r>
          <w:r>
            <w:tab/>
          </w:r>
          <w:r>
            <w:fldChar w:fldCharType="begin"/>
          </w:r>
          <w:r>
            <w:instrText xml:space="preserve"> PAGEREF _Toc111714034 \h </w:instrText>
          </w:r>
          <w:r>
            <w:fldChar w:fldCharType="separate"/>
          </w:r>
          <w:r>
            <w:t>5</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"_Toc111714035" </w:instrText>
          </w:r>
          <w:r>
            <w:fldChar w:fldCharType="separate"/>
          </w:r>
          <w:r>
            <w:rPr>
              <w:rStyle w:val="11"/>
              <w:rFonts w:hint="eastAsia"/>
            </w:rPr>
            <w:t>第四条</w:t>
          </w:r>
          <w:r>
            <w:rPr>
              <w:rStyle w:val="11"/>
            </w:rPr>
            <w:t xml:space="preserve">  </w:t>
          </w:r>
          <w:r>
            <w:rPr>
              <w:rStyle w:val="11"/>
              <w:rFonts w:hint="eastAsia"/>
            </w:rPr>
            <w:t>违约责任</w:t>
          </w:r>
          <w:r>
            <w:tab/>
          </w:r>
          <w:r>
            <w:fldChar w:fldCharType="begin"/>
          </w:r>
          <w:r>
            <w:instrText xml:space="preserve"> PAGEREF _Toc111714035 \h </w:instrText>
          </w:r>
          <w:r>
            <w:fldChar w:fldCharType="separate"/>
          </w:r>
          <w:r>
            <w:t>6</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"_Toc111714036" </w:instrText>
          </w:r>
          <w:r>
            <w:fldChar w:fldCharType="separate"/>
          </w:r>
          <w:r>
            <w:rPr>
              <w:rStyle w:val="11"/>
              <w:rFonts w:hint="eastAsia"/>
            </w:rPr>
            <w:t>第五条</w:t>
          </w:r>
          <w:r>
            <w:rPr>
              <w:rStyle w:val="11"/>
            </w:rPr>
            <w:t xml:space="preserve">  </w:t>
          </w:r>
          <w:r>
            <w:rPr>
              <w:rStyle w:val="11"/>
              <w:rFonts w:hint="eastAsia"/>
            </w:rPr>
            <w:t>法律适用和争议解决</w:t>
          </w:r>
          <w:r>
            <w:tab/>
          </w:r>
          <w:r>
            <w:fldChar w:fldCharType="begin"/>
          </w:r>
          <w:r>
            <w:instrText xml:space="preserve"> PAGEREF _Toc111714036 \h </w:instrText>
          </w:r>
          <w:r>
            <w:fldChar w:fldCharType="separate"/>
          </w:r>
          <w:r>
            <w:t>7</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"_Toc111714037" </w:instrText>
          </w:r>
          <w:r>
            <w:fldChar w:fldCharType="separate"/>
          </w:r>
          <w:r>
            <w:rPr>
              <w:rStyle w:val="11"/>
              <w:rFonts w:hint="eastAsia"/>
            </w:rPr>
            <w:t>第六条</w:t>
          </w:r>
          <w:r>
            <w:rPr>
              <w:rStyle w:val="11"/>
            </w:rPr>
            <w:t xml:space="preserve">  </w:t>
          </w:r>
          <w:r>
            <w:rPr>
              <w:rStyle w:val="11"/>
              <w:rFonts w:hint="eastAsia"/>
            </w:rPr>
            <w:t>协议的签署和效力</w:t>
          </w:r>
          <w:r>
            <w:tab/>
          </w:r>
          <w:r>
            <w:fldChar w:fldCharType="begin"/>
          </w:r>
          <w:r>
            <w:instrText xml:space="preserve"> PAGEREF _Toc111714037 \h </w:instrText>
          </w:r>
          <w:r>
            <w:fldChar w:fldCharType="separate"/>
          </w:r>
          <w:r>
            <w:t>8</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"_Toc111714038" </w:instrText>
          </w:r>
          <w:r>
            <w:fldChar w:fldCharType="separate"/>
          </w:r>
          <w:r>
            <w:rPr>
              <w:rStyle w:val="11"/>
              <w:rFonts w:hint="eastAsia"/>
            </w:rPr>
            <w:t>第七条</w:t>
          </w:r>
          <w:r>
            <w:rPr>
              <w:rStyle w:val="11"/>
            </w:rPr>
            <w:t xml:space="preserve">  </w:t>
          </w:r>
          <w:r>
            <w:rPr>
              <w:rStyle w:val="11"/>
              <w:rFonts w:hint="eastAsia"/>
            </w:rPr>
            <w:t>消费者权益保护</w:t>
          </w:r>
          <w:r>
            <w:tab/>
          </w:r>
          <w:r>
            <w:fldChar w:fldCharType="begin"/>
          </w:r>
          <w:r>
            <w:instrText xml:space="preserve"> PAGEREF _Toc111714038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8727"/>
      <w:bookmarkStart w:id="15" w:name="_Toc26897"/>
      <w:bookmarkStart w:id="16" w:name="_Toc29629"/>
      <w:bookmarkStart w:id="17" w:name="_Toc4867"/>
      <w:bookmarkStart w:id="18" w:name="_Toc6306"/>
      <w:bookmarkStart w:id="19" w:name="_Toc123112268"/>
      <w:bookmarkStart w:id="20" w:name="_Toc4966"/>
      <w:bookmarkStart w:id="21" w:name="_Toc139991730"/>
      <w:bookmarkStart w:id="22" w:name="_Toc32639"/>
      <w:bookmarkStart w:id="23" w:name="_Toc123112229"/>
      <w:bookmarkStart w:id="24" w:name="_Toc141703880"/>
      <w:bookmarkStart w:id="25" w:name="_Toc15517"/>
      <w:bookmarkStart w:id="26" w:name="_Toc30935"/>
      <w:bookmarkStart w:id="27" w:name="_Toc123701389"/>
      <w:bookmarkStart w:id="28" w:name="_Toc23386"/>
      <w:bookmarkStart w:id="29" w:name="_Toc11171403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1301"/>
      <w:bookmarkStart w:id="33" w:name="_Toc258829399"/>
      <w:bookmarkStart w:id="34" w:name="_Toc819"/>
      <w:bookmarkStart w:id="35" w:name="_Toc6617"/>
      <w:bookmarkStart w:id="36" w:name="_Toc19592"/>
      <w:bookmarkStart w:id="37" w:name="_Toc13020"/>
      <w:bookmarkStart w:id="38" w:name="_Toc3224"/>
      <w:bookmarkStart w:id="39" w:name="_Toc2465"/>
      <w:bookmarkStart w:id="40" w:name="_Toc22864"/>
      <w:bookmarkStart w:id="41" w:name="_Toc15067"/>
      <w:bookmarkStart w:id="42" w:name="_Toc24860"/>
      <w:r>
        <w:rPr>
          <w:rFonts w:hint="eastAsia" w:ascii="Times New Roman"/>
          <w:color w:val="auto"/>
          <w:sz w:val="30"/>
        </w:rPr>
        <w:t>前言</w:t>
      </w:r>
      <w:bookmarkEnd w:id="29"/>
    </w:p>
    <w:p>
      <w:pPr>
        <w:pStyle w:val="14"/>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3" w:name="_Toc59965743"/>
      <w:r>
        <w:rPr>
          <w:rFonts w:hint="eastAsia" w:asciiTheme="majorEastAsia" w:hAnsiTheme="majorEastAsia" w:eastAsiaTheme="majorEastAsia"/>
          <w:bCs/>
          <w:color w:val="auto"/>
          <w:sz w:val="18"/>
          <w:szCs w:val="18"/>
        </w:rPr>
        <w:t>《商业银行理财子公司管理办法》</w:t>
      </w:r>
      <w:bookmarkEnd w:id="43"/>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14"/>
        <w:spacing w:line="360" w:lineRule="auto"/>
        <w:rPr>
          <w:rFonts w:asciiTheme="majorEastAsia" w:hAnsiTheme="majorEastAsia" w:eastAsiaTheme="majorEastAsia"/>
          <w:bCs/>
          <w:color w:val="auto"/>
          <w:sz w:val="18"/>
          <w:szCs w:val="18"/>
        </w:rPr>
      </w:pP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11714033"/>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111714034"/>
      <w:bookmarkStart w:id="47" w:name="_Toc6683"/>
      <w:bookmarkStart w:id="48" w:name="_Toc20318"/>
      <w:bookmarkStart w:id="49" w:name="_Toc18631"/>
      <w:bookmarkStart w:id="50" w:name="_Toc6149"/>
      <w:bookmarkStart w:id="51" w:name="_Toc22708"/>
      <w:bookmarkStart w:id="52" w:name="_Toc545"/>
      <w:bookmarkStart w:id="53" w:name="_Toc13288"/>
      <w:bookmarkStart w:id="54" w:name="_Toc24571"/>
      <w:bookmarkStart w:id="55" w:name="_Toc20627"/>
      <w:bookmarkStart w:id="56" w:name="_Toc733"/>
      <w:bookmarkStart w:id="57" w:name="_Toc74065740"/>
      <w:bookmarkStart w:id="58" w:name="_Toc233456272"/>
      <w:bookmarkStart w:id="59" w:name="_Toc258829400"/>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11171403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111714036"/>
      <w:r>
        <w:rPr>
          <w:rFonts w:hint="eastAsia" w:ascii="Times New Roman"/>
          <w:color w:val="auto"/>
          <w:sz w:val="30"/>
        </w:rPr>
        <w:t>第五条</w:t>
      </w:r>
      <w:r>
        <w:rPr>
          <w:rFonts w:ascii="Times New Roman"/>
          <w:color w:val="auto"/>
          <w:sz w:val="30"/>
        </w:rPr>
        <w:t xml:space="preserve">  法律适用和争议解决</w:t>
      </w:r>
      <w:bookmarkEnd w:id="61"/>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w:t>
      </w:r>
      <w:r>
        <w:rPr>
          <w:color w:val="000000" w:themeColor="text1"/>
          <w:sz w:val="18"/>
          <w:szCs w:val="18"/>
          <w14:textFill>
            <w14:solidFill>
              <w14:schemeClr w14:val="tx1"/>
            </w14:solidFill>
          </w14:textFill>
        </w:rPr>
        <w:t>法律适用</w:t>
      </w:r>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双方在本协议书的执行过程中发生的任何争议，应通过友好协商解决。</w:t>
      </w:r>
      <w:r>
        <w:rPr>
          <w:rFonts w:hint="eastAsia" w:ascii="黑体" w:hAnsi="黑体" w:eastAsia="黑体"/>
          <w:color w:val="000000" w:themeColor="text1"/>
          <w:sz w:val="18"/>
          <w:szCs w:val="18"/>
          <w14:textFill>
            <w14:solidFill>
              <w14:schemeClr w14:val="tx1"/>
            </w14:solidFill>
          </w14:textFill>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1714037"/>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111714038"/>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5" w:type="default"/>
          <w:footerReference r:id="rId6" w:type="default"/>
          <w:pgSz w:w="11906" w:h="16838"/>
          <w:pgMar w:top="1440" w:right="1800" w:bottom="1440" w:left="1800" w:header="567" w:footer="964" w:gutter="0"/>
          <w:pgNumType w:start="1"/>
          <w:cols w:space="720" w:num="1"/>
          <w:docGrid w:type="lines" w:linePitch="312" w:charSpace="0"/>
        </w:sect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兴银理财稳利安盈封闭式理财产品</w:t>
      </w: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产品说明书</w:t>
      </w:r>
    </w:p>
    <w:p>
      <w:pPr>
        <w:adjustRightInd w:val="0"/>
        <w:spacing w:line="360" w:lineRule="auto"/>
        <w:jc w:val="center"/>
        <w:rPr>
          <w:rStyle w:val="10"/>
          <w:rFonts w:ascii="宋体" w:hAnsi="宋体"/>
          <w:sz w:val="32"/>
          <w:szCs w:val="32"/>
        </w:rPr>
      </w:pPr>
    </w:p>
    <w:p>
      <w:pPr>
        <w:adjustRightInd w:val="0"/>
        <w:spacing w:line="360" w:lineRule="auto"/>
        <w:rPr>
          <w:rStyle w:val="10"/>
          <w:rFonts w:ascii="黑体" w:hAnsi="黑体" w:eastAsia="黑体"/>
          <w:bCs w:val="0"/>
          <w:sz w:val="28"/>
          <w:szCs w:val="28"/>
        </w:rPr>
      </w:pPr>
      <w:r>
        <w:rPr>
          <w:rStyle w:val="10"/>
          <w:rFonts w:hint="eastAsia" w:ascii="黑体" w:hAnsi="黑体" w:eastAsia="黑体"/>
          <w:bCs w:val="0"/>
          <w:sz w:val="28"/>
          <w:szCs w:val="28"/>
        </w:rPr>
        <w:t xml:space="preserve"> </w:t>
      </w:r>
    </w:p>
    <w:p>
      <w:pPr>
        <w:adjustRightInd w:val="0"/>
        <w:spacing w:line="360" w:lineRule="auto"/>
        <w:jc w:val="center"/>
        <w:rPr>
          <w:rStyle w:val="10"/>
          <w:rFonts w:ascii="黑体" w:hAnsi="黑体" w:eastAsia="黑体"/>
          <w:bCs w:val="0"/>
          <w:sz w:val="28"/>
          <w:szCs w:val="28"/>
        </w:rPr>
      </w:pPr>
      <w:r>
        <w:rPr>
          <w:rStyle w:val="10"/>
          <w:rFonts w:hint="eastAsia" w:ascii="黑体" w:hAnsi="黑体" w:eastAsia="黑体"/>
          <w:bCs w:val="0"/>
          <w:sz w:val="28"/>
          <w:szCs w:val="28"/>
        </w:rPr>
        <w:t xml:space="preserve"> </w:t>
      </w:r>
    </w:p>
    <w:p>
      <w:pPr>
        <w:adjustRightInd w:val="0"/>
        <w:spacing w:line="360" w:lineRule="auto"/>
        <w:jc w:val="center"/>
        <w:rPr>
          <w:rStyle w:val="10"/>
          <w:rFonts w:ascii="黑体" w:hAnsi="黑体" w:eastAsia="黑体"/>
          <w:bCs w:val="0"/>
          <w:sz w:val="28"/>
          <w:szCs w:val="28"/>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理财产品管理人：兴银理财有限责任公司</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日期</w:t>
      </w:r>
      <w:r>
        <w:rPr>
          <w:rStyle w:val="10"/>
          <w:rFonts w:ascii="宋体" w:hAnsi="宋体" w:cs="Times New Roman"/>
          <w:sz w:val="32"/>
          <w:szCs w:val="32"/>
        </w:rPr>
        <w:t>：</w:t>
      </w:r>
      <w:r>
        <w:rPr>
          <w:rStyle w:val="10"/>
          <w:rFonts w:hint="eastAsia" w:ascii="宋体" w:hAnsi="宋体" w:cs="Times New Roman"/>
          <w:sz w:val="32"/>
          <w:szCs w:val="32"/>
        </w:rPr>
        <w:t>【2023】年【7】月</w:t>
      </w:r>
    </w:p>
    <w:p>
      <w:pPr>
        <w:adjustRightInd w:val="0"/>
        <w:spacing w:line="360" w:lineRule="auto"/>
        <w:jc w:val="center"/>
        <w:rPr>
          <w:rStyle w:val="10"/>
          <w:rFonts w:ascii="宋体" w:hAnsi="宋体"/>
          <w:sz w:val="32"/>
          <w:szCs w:val="32"/>
        </w:rPr>
      </w:pPr>
    </w:p>
    <w:p>
      <w:pPr>
        <w:pStyle w:val="1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15"/>
            <w:spacing w:line="360" w:lineRule="auto"/>
            <w:jc w:val="center"/>
          </w:pPr>
          <w:bookmarkStart w:id="66" w:name="_Toc78276587"/>
          <w:r>
            <w:rPr>
              <w:lang w:val="zh-CN"/>
            </w:rPr>
            <w:t>目录</w:t>
          </w:r>
        </w:p>
        <w:p>
          <w:pPr>
            <w:pStyle w:val="5"/>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11"/>
              <w:rFonts w:hint="eastAsia" w:ascii="Times New Roman"/>
            </w:rPr>
            <w:t>第一条</w:t>
          </w:r>
          <w:r>
            <w:rPr>
              <w:rStyle w:val="11"/>
              <w:rFonts w:ascii="Times New Roman"/>
            </w:rPr>
            <w:t xml:space="preserve">  </w:t>
          </w:r>
          <w:r>
            <w:rPr>
              <w:rStyle w:val="11"/>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11"/>
              <w:rFonts w:hint="eastAsia" w:hAnsi="宋体"/>
            </w:rPr>
            <w:t>第二条</w:t>
          </w:r>
          <w:r>
            <w:rPr>
              <w:rStyle w:val="11"/>
              <w:rFonts w:hAnsi="宋体"/>
            </w:rPr>
            <w:t xml:space="preserve">  </w:t>
          </w:r>
          <w:r>
            <w:rPr>
              <w:rStyle w:val="11"/>
              <w:rFonts w:hint="eastAsia" w:hAnsi="宋体"/>
            </w:rPr>
            <w:t>理财产品基本情况</w:t>
          </w:r>
          <w:r>
            <w:rPr>
              <w:rStyle w:val="11"/>
              <w:rFonts w:hAnsi="宋体"/>
            </w:rPr>
            <w:t xml:space="preserve"> </w:t>
          </w:r>
          <w:r>
            <w:tab/>
          </w:r>
          <w:r>
            <w:fldChar w:fldCharType="begin"/>
          </w:r>
          <w:r>
            <w:instrText xml:space="preserve"> PAGEREF _Toc116649650 \h </w:instrText>
          </w:r>
          <w:r>
            <w:fldChar w:fldCharType="separate"/>
          </w:r>
          <w:r>
            <w:t>7</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11"/>
              <w:rFonts w:hint="eastAsia" w:ascii="Times New Roman"/>
            </w:rPr>
            <w:t>第三条</w:t>
          </w:r>
          <w:r>
            <w:rPr>
              <w:rStyle w:val="11"/>
              <w:rFonts w:ascii="Times New Roman"/>
            </w:rPr>
            <w:t xml:space="preserve">  </w:t>
          </w:r>
          <w:r>
            <w:rPr>
              <w:rStyle w:val="11"/>
              <w:rFonts w:hint="eastAsia" w:ascii="Times New Roman"/>
            </w:rPr>
            <w:t>理财产品的认购</w:t>
          </w:r>
          <w:r>
            <w:tab/>
          </w:r>
          <w:r>
            <w:fldChar w:fldCharType="begin"/>
          </w:r>
          <w:r>
            <w:instrText xml:space="preserve"> PAGEREF _Toc116649651 \h </w:instrText>
          </w:r>
          <w:r>
            <w:fldChar w:fldCharType="separate"/>
          </w:r>
          <w:r>
            <w:t>12</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11"/>
              <w:rFonts w:hint="eastAsia" w:ascii="Times New Roman"/>
            </w:rPr>
            <w:t>第四条</w:t>
          </w:r>
          <w:r>
            <w:rPr>
              <w:rStyle w:val="11"/>
              <w:rFonts w:ascii="Times New Roman"/>
            </w:rPr>
            <w:t xml:space="preserve">  </w:t>
          </w:r>
          <w:r>
            <w:rPr>
              <w:rStyle w:val="11"/>
              <w:rFonts w:hint="eastAsia" w:ascii="Times New Roman"/>
            </w:rPr>
            <w:t>理财产品的申购与赎回</w:t>
          </w:r>
          <w:r>
            <w:tab/>
          </w:r>
          <w:r>
            <w:fldChar w:fldCharType="begin"/>
          </w:r>
          <w:r>
            <w:instrText xml:space="preserve"> PAGEREF _Toc116649652 \h </w:instrText>
          </w:r>
          <w:r>
            <w:fldChar w:fldCharType="separate"/>
          </w:r>
          <w:r>
            <w:t>14</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11"/>
              <w:rFonts w:hint="eastAsia" w:ascii="Times New Roman"/>
            </w:rPr>
            <w:t>第五条</w:t>
          </w:r>
          <w:r>
            <w:rPr>
              <w:rStyle w:val="11"/>
              <w:rFonts w:ascii="Times New Roman"/>
            </w:rPr>
            <w:t xml:space="preserve">  </w:t>
          </w:r>
          <w:r>
            <w:rPr>
              <w:rStyle w:val="11"/>
              <w:rFonts w:hint="eastAsia" w:ascii="Times New Roman"/>
            </w:rPr>
            <w:t>理财产品的投资</w:t>
          </w:r>
          <w:r>
            <w:tab/>
          </w:r>
          <w:r>
            <w:fldChar w:fldCharType="begin"/>
          </w:r>
          <w:r>
            <w:instrText xml:space="preserve"> PAGEREF _Toc116649653 \h </w:instrText>
          </w:r>
          <w:r>
            <w:fldChar w:fldCharType="separate"/>
          </w:r>
          <w:r>
            <w:t>15</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11"/>
              <w:rFonts w:hint="eastAsia" w:ascii="Times New Roman"/>
            </w:rPr>
            <w:t>第六条</w:t>
          </w:r>
          <w:r>
            <w:rPr>
              <w:rStyle w:val="11"/>
              <w:rFonts w:ascii="Times New Roman"/>
            </w:rPr>
            <w:t xml:space="preserve">  </w:t>
          </w:r>
          <w:r>
            <w:rPr>
              <w:rStyle w:val="11"/>
              <w:rFonts w:hint="eastAsia" w:ascii="Times New Roman"/>
            </w:rPr>
            <w:t>理财产品的资产</w:t>
          </w:r>
          <w:r>
            <w:tab/>
          </w:r>
          <w:r>
            <w:fldChar w:fldCharType="begin"/>
          </w:r>
          <w:r>
            <w:instrText xml:space="preserve"> PAGEREF _Toc116649654 \h </w:instrText>
          </w:r>
          <w:r>
            <w:fldChar w:fldCharType="separate"/>
          </w:r>
          <w:r>
            <w:t>18</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11"/>
              <w:rFonts w:hint="eastAsia" w:ascii="Times New Roman"/>
            </w:rPr>
            <w:t>第七条</w:t>
          </w:r>
          <w:r>
            <w:rPr>
              <w:rStyle w:val="11"/>
              <w:rFonts w:ascii="Times New Roman"/>
            </w:rPr>
            <w:t xml:space="preserve">  </w:t>
          </w:r>
          <w:r>
            <w:rPr>
              <w:rStyle w:val="11"/>
              <w:rFonts w:hint="eastAsia" w:ascii="Times New Roman"/>
            </w:rPr>
            <w:t>理财产品项下资产的估值</w:t>
          </w:r>
          <w:r>
            <w:tab/>
          </w:r>
          <w:r>
            <w:fldChar w:fldCharType="begin"/>
          </w:r>
          <w:r>
            <w:instrText xml:space="preserve"> PAGEREF _Toc116649655 \h </w:instrText>
          </w:r>
          <w:r>
            <w:fldChar w:fldCharType="separate"/>
          </w:r>
          <w:r>
            <w:t>19</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11"/>
              <w:rFonts w:hint="eastAsia" w:ascii="Times New Roman"/>
            </w:rPr>
            <w:t>第八条</w:t>
          </w:r>
          <w:r>
            <w:rPr>
              <w:rStyle w:val="11"/>
              <w:rFonts w:ascii="Times New Roman"/>
            </w:rPr>
            <w:t xml:space="preserve">  </w:t>
          </w:r>
          <w:r>
            <w:rPr>
              <w:rStyle w:val="11"/>
              <w:rFonts w:hint="eastAsia" w:ascii="Times New Roman"/>
            </w:rPr>
            <w:t>理财产品的利益分配</w:t>
          </w:r>
          <w:r>
            <w:tab/>
          </w:r>
          <w:r>
            <w:fldChar w:fldCharType="begin"/>
          </w:r>
          <w:r>
            <w:instrText xml:space="preserve"> PAGEREF _Toc116649656 \h </w:instrText>
          </w:r>
          <w:r>
            <w:fldChar w:fldCharType="separate"/>
          </w:r>
          <w:r>
            <w:t>23</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11"/>
              <w:rFonts w:hint="eastAsia" w:ascii="Times New Roman"/>
            </w:rPr>
            <w:t>第九条</w:t>
          </w:r>
          <w:r>
            <w:rPr>
              <w:rStyle w:val="11"/>
              <w:rFonts w:ascii="Times New Roman"/>
            </w:rPr>
            <w:t xml:space="preserve">  </w:t>
          </w:r>
          <w:r>
            <w:rPr>
              <w:rStyle w:val="11"/>
              <w:rFonts w:hint="eastAsia" w:ascii="Times New Roman"/>
            </w:rPr>
            <w:t>理财产品的费用与税收</w:t>
          </w:r>
          <w:r>
            <w:tab/>
          </w:r>
          <w:r>
            <w:fldChar w:fldCharType="begin"/>
          </w:r>
          <w:r>
            <w:instrText xml:space="preserve"> PAGEREF _Toc116649657 \h </w:instrText>
          </w:r>
          <w:r>
            <w:fldChar w:fldCharType="separate"/>
          </w:r>
          <w:r>
            <w:t>24</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11"/>
              <w:rFonts w:hint="eastAsia"/>
            </w:rPr>
            <w:t>第十条</w:t>
          </w:r>
          <w:r>
            <w:rPr>
              <w:rStyle w:val="11"/>
            </w:rPr>
            <w:t xml:space="preserve">  </w:t>
          </w:r>
          <w:r>
            <w:rPr>
              <w:rStyle w:val="11"/>
              <w:rFonts w:hint="eastAsia"/>
            </w:rPr>
            <w:t>理财产品的终止与清算</w:t>
          </w:r>
          <w:r>
            <w:tab/>
          </w:r>
          <w:r>
            <w:fldChar w:fldCharType="begin"/>
          </w:r>
          <w:r>
            <w:instrText xml:space="preserve"> PAGEREF _Toc116649658 \h </w:instrText>
          </w:r>
          <w:r>
            <w:fldChar w:fldCharType="separate"/>
          </w:r>
          <w:r>
            <w:t>27</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11"/>
              <w:rFonts w:hint="eastAsia" w:ascii="Times New Roman"/>
            </w:rPr>
            <w:t>第十一条</w:t>
          </w:r>
          <w:r>
            <w:rPr>
              <w:rStyle w:val="11"/>
              <w:rFonts w:ascii="Times New Roman"/>
            </w:rPr>
            <w:t xml:space="preserve">  </w:t>
          </w:r>
          <w:r>
            <w:rPr>
              <w:rStyle w:val="11"/>
              <w:rFonts w:hint="eastAsia" w:ascii="Times New Roman"/>
            </w:rPr>
            <w:t>理财产品的信息披露</w:t>
          </w:r>
          <w:r>
            <w:tab/>
          </w:r>
          <w:r>
            <w:fldChar w:fldCharType="begin"/>
          </w:r>
          <w:r>
            <w:instrText xml:space="preserve"> PAGEREF _Toc116649659 \h </w:instrText>
          </w:r>
          <w:r>
            <w:fldChar w:fldCharType="separate"/>
          </w:r>
          <w:r>
            <w:t>29</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11"/>
              <w:rFonts w:hint="eastAsia" w:ascii="Times New Roman"/>
            </w:rPr>
            <w:t>第十二条</w:t>
          </w:r>
          <w:r>
            <w:rPr>
              <w:rStyle w:val="11"/>
              <w:rFonts w:ascii="Times New Roman"/>
            </w:rPr>
            <w:t xml:space="preserve">  </w:t>
          </w:r>
          <w:r>
            <w:rPr>
              <w:rStyle w:val="11"/>
              <w:rFonts w:hint="eastAsia" w:ascii="Times New Roman"/>
            </w:rPr>
            <w:t>理财产品的风险揭示</w:t>
          </w:r>
          <w:r>
            <w:tab/>
          </w:r>
          <w:r>
            <w:fldChar w:fldCharType="begin"/>
          </w:r>
          <w:r>
            <w:instrText xml:space="preserve"> PAGEREF _Toc116649660 \h </w:instrText>
          </w:r>
          <w:r>
            <w:fldChar w:fldCharType="separate"/>
          </w:r>
          <w:r>
            <w:t>31</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67"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66"/>
      <w:bookmarkEnd w:id="67"/>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1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1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：指产品管理人向投资者提供的，用于描述产品特征，约定权利义务的文件。具体指《兴银理财稳利安盈封闭式理财产品销售文件》，包括《投资协议书》、《产品说明书》、《（代理）销售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《投资协议书》：指管理人统一编制的《兴银理财稳利安盈封闭式理财产品投资协议书》，以及对该文件的有效修改或补充。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）《产品说明书》：指管理人统一编制的《兴银理财稳利安盈封闭式理财产品产品说明书》，以及对该文件的有效修改或补充。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（4）《（代理）销售协议书》：指管理人统一编制的《兴银理财稳利安盈封闭式理财产品（代理）销售协议书》或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的《兴银理财稳利安盈封闭式理财产品（代理）销售协议书》（文件名称以代理销售机构实际编制为准），以及对该文件的有效修改或补充。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）《风险揭示书》：指管理人统一编制的《兴银理财稳利安盈封闭式理财产品风险揭示书》或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的《兴银理财稳利安盈封闭式理财产品风险揭示书》（文件名称以代理销售机构实际编制为准），以及对该文件的有效修改或补充。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）《投资者权益须知》：指管理人统一编制的《兴银理财稳利安盈封闭式理财产品投资者权益须知》或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《兴银理财稳利安盈封闭式理财产品投资者权益须知》（文件名称以代理销售机构实际编制为准），以及对该文件的有效修改或补充。</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1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1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w:t>
      </w:r>
      <w:r>
        <w:rPr>
          <w:rFonts w:ascii="黑体" w:hAnsi="黑体" w:eastAsia="黑体"/>
          <w:bCs/>
          <w:color w:val="auto"/>
          <w:sz w:val="18"/>
          <w:szCs w:val="18"/>
        </w:rPr>
        <w:t>基准</w:t>
      </w:r>
      <w:r>
        <w:rPr>
          <w:rFonts w:hint="eastAsia" w:ascii="黑体" w:hAnsi="黑体" w:eastAsia="黑体"/>
          <w:bCs/>
          <w:color w:val="auto"/>
          <w:sz w:val="18"/>
          <w:szCs w:val="18"/>
        </w:rPr>
        <w:t>：</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计提基准</w:t>
      </w:r>
      <w:r>
        <w:rPr>
          <w:rFonts w:hint="eastAsia" w:ascii="黑体" w:hAnsi="黑体" w:eastAsia="黑体"/>
          <w:bCs/>
          <w:color w:val="auto"/>
          <w:sz w:val="18"/>
          <w:szCs w:val="18"/>
        </w:rPr>
        <w:t>不代表理财产品未来表现，不等于理财产品实际收益，不作为产品收益的业绩保证，投资须谨慎。</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1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1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1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1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1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1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68" w:name="_Toc79154665"/>
      <w:bookmarkStart w:id="69" w:name="_Toc116649650"/>
      <w:r>
        <w:rPr>
          <w:rFonts w:hint="eastAsia" w:hAnsi="宋体"/>
          <w:sz w:val="28"/>
          <w:szCs w:val="28"/>
        </w:rPr>
        <w:t>第二条  理财产品基本情况</w:t>
      </w:r>
      <w:bookmarkEnd w:id="68"/>
      <w:r>
        <w:rPr>
          <w:rFonts w:hint="eastAsia" w:hAnsi="宋体"/>
          <w:sz w:val="28"/>
          <w:szCs w:val="28"/>
        </w:rPr>
        <w:t xml:space="preserve"> </w:t>
      </w:r>
      <w:bookmarkEnd w:id="69"/>
    </w:p>
    <w:tbl>
      <w:tblPr>
        <w:tblStyle w:val="7"/>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兴银理财稳利安盈封闭式2023年31期固收类理财产品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sz w:val="18"/>
                <w:szCs w:val="18"/>
              </w:rPr>
            </w:pPr>
            <w:r>
              <w:rPr>
                <w:rFonts w:ascii="宋体" w:hAnsi="宋体"/>
                <w:bCs/>
                <w:sz w:val="18"/>
                <w:szCs w:val="18"/>
              </w:rPr>
              <w:t>【</w:t>
            </w:r>
            <w:r>
              <w:rPr>
                <w:rFonts w:hint="eastAsia" w:ascii="宋体" w:hAnsi="宋体"/>
                <w:bCs/>
                <w:sz w:val="18"/>
                <w:szCs w:val="18"/>
              </w:rPr>
              <w:t>稳利安盈封闭式2023年31期A】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稳利安盈封闭式2023年31期B】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hint="eastAsia"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稳利安盈封闭式2023年31期C（新市民专属）】</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ascii="宋体" w:hAnsi="宋体"/>
                <w:bCs/>
                <w:sz w:val="18"/>
                <w:szCs w:val="18"/>
              </w:rPr>
              <w:t>Z7002023000549</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9A123310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9A12331A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9A12331B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hint="eastAsia" w:ascii="宋体" w:hAnsi="宋体"/>
                <w:sz w:val="18"/>
                <w:szCs w:val="18"/>
              </w:rPr>
            </w:pPr>
            <w:r>
              <w:rPr>
                <w:rFonts w:hint="eastAsia" w:ascii="宋体" w:hAnsi="宋体"/>
                <w:sz w:val="18"/>
                <w:szCs w:val="18"/>
              </w:rPr>
              <w:t>【</w:t>
            </w:r>
            <w:r>
              <w:rPr>
                <w:rFonts w:ascii="宋体" w:hAnsi="宋体"/>
                <w:sz w:val="18"/>
                <w:szCs w:val="18"/>
              </w:rPr>
              <w:t>9A12331C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 直销适用</w:t>
            </w:r>
          </w:p>
          <w:p>
            <w:pPr>
              <w:spacing w:line="360" w:lineRule="auto"/>
              <w:rPr>
                <w:rFonts w:ascii="宋体" w:hAnsi="宋体"/>
                <w:sz w:val="18"/>
                <w:szCs w:val="18"/>
              </w:rPr>
            </w:pPr>
            <w:r>
              <w:rPr>
                <w:rFonts w:hint="eastAsia" w:ascii="宋体" w:hAnsi="宋体"/>
                <w:sz w:val="18"/>
                <w:szCs w:val="18"/>
              </w:rPr>
              <w:t>本产品由产品管理人销售。</w:t>
            </w:r>
          </w:p>
          <w:p>
            <w:pPr>
              <w:spacing w:line="360" w:lineRule="auto"/>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规模为【20】亿元，最小成立规模为【/】亿元。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■有固定期限：【112天】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【2023</w:t>
            </w:r>
            <w:r>
              <w:rPr>
                <w:rFonts w:cs="Times New Roman" w:asciiTheme="minorEastAsia" w:hAnsiTheme="minorEastAsia"/>
                <w:sz w:val="18"/>
                <w:szCs w:val="18"/>
              </w:rPr>
              <w:t>】年【8</w:t>
            </w:r>
            <w:r>
              <w:rPr>
                <w:rFonts w:hint="eastAsia" w:cs="Times New Roman" w:asciiTheme="minorEastAsia" w:hAnsiTheme="minorEastAsia"/>
                <w:sz w:val="18"/>
                <w:szCs w:val="18"/>
              </w:rPr>
              <w:t>】月【2】日【9：00】</w:t>
            </w:r>
            <w:r>
              <w:rPr>
                <w:rFonts w:hint="eastAsia" w:cs="仿宋_GB2312" w:asciiTheme="minorEastAsia" w:hAnsiTheme="minorEastAsia"/>
                <w:sz w:val="18"/>
                <w:szCs w:val="18"/>
              </w:rPr>
              <w:t>至</w:t>
            </w:r>
            <w:r>
              <w:rPr>
                <w:rFonts w:hint="eastAsia" w:cs="Times New Roman" w:asciiTheme="minorEastAsia" w:hAnsiTheme="minorEastAsia"/>
                <w:sz w:val="18"/>
                <w:szCs w:val="18"/>
              </w:rPr>
              <w:t>【2023</w:t>
            </w:r>
            <w:r>
              <w:rPr>
                <w:rFonts w:cs="Times New Roman" w:asciiTheme="minorEastAsia" w:hAnsiTheme="minorEastAsia"/>
                <w:sz w:val="18"/>
                <w:szCs w:val="18"/>
              </w:rPr>
              <w:t>】年【8</w:t>
            </w:r>
            <w:r>
              <w:rPr>
                <w:rFonts w:hint="eastAsia" w:cs="Times New Roman" w:asciiTheme="minorEastAsia" w:hAnsiTheme="minorEastAsia"/>
                <w:sz w:val="18"/>
                <w:szCs w:val="18"/>
              </w:rPr>
              <w:t>】月【</w:t>
            </w:r>
            <w:r>
              <w:rPr>
                <w:rFonts w:cs="Times New Roman" w:asciiTheme="minorEastAsia" w:hAnsiTheme="minorEastAsia"/>
                <w:sz w:val="18"/>
                <w:szCs w:val="18"/>
              </w:rPr>
              <w:t>8</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5</w:t>
            </w:r>
            <w:r>
              <w:rPr>
                <w:rFonts w:hint="eastAsia" w:asciiTheme="majorEastAsia" w:hAnsiTheme="majorEastAsia" w:eastAsiaTheme="majorEastAsia"/>
                <w:sz w:val="18"/>
                <w:szCs w:val="18"/>
              </w:rPr>
              <w:t>：00】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【2023</w:t>
            </w:r>
            <w:r>
              <w:rPr>
                <w:rFonts w:cs="Times New Roman" w:asciiTheme="minorEastAsia" w:hAnsiTheme="minorEastAsia"/>
                <w:sz w:val="18"/>
                <w:szCs w:val="18"/>
              </w:rPr>
              <w:t>】年【8</w:t>
            </w:r>
            <w:r>
              <w:rPr>
                <w:rFonts w:hint="eastAsia" w:cs="Times New Roman" w:asciiTheme="minorEastAsia" w:hAnsiTheme="minorEastAsia"/>
                <w:sz w:val="18"/>
                <w:szCs w:val="18"/>
              </w:rPr>
              <w:t>】月【</w:t>
            </w:r>
            <w:r>
              <w:rPr>
                <w:rFonts w:cs="Times New Roman" w:asciiTheme="minorEastAsia" w:hAnsiTheme="minorEastAsia"/>
                <w:sz w:val="18"/>
                <w:szCs w:val="18"/>
              </w:rPr>
              <w:t>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【2023</w:t>
            </w:r>
            <w:r>
              <w:rPr>
                <w:rFonts w:cs="Times New Roman" w:asciiTheme="minorEastAsia" w:hAnsiTheme="minorEastAsia"/>
                <w:sz w:val="18"/>
                <w:szCs w:val="18"/>
              </w:rPr>
              <w:t>】年【11</w:t>
            </w:r>
            <w:r>
              <w:rPr>
                <w:rFonts w:hint="eastAsia" w:cs="Times New Roman" w:asciiTheme="minorEastAsia" w:hAnsiTheme="minorEastAsia"/>
                <w:sz w:val="18"/>
                <w:szCs w:val="18"/>
              </w:rPr>
              <w:t>】月【2</w:t>
            </w:r>
            <w:r>
              <w:rPr>
                <w:rFonts w:cs="Times New Roman" w:asciiTheme="minorEastAsia" w:hAnsiTheme="minorEastAsia"/>
                <w:sz w:val="18"/>
                <w:szCs w:val="18"/>
              </w:rPr>
              <w:t>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hint="eastAsia" w:asciiTheme="majorEastAsia" w:hAnsiTheme="majorEastAsia" w:eastAsiaTheme="majorEastAsia"/>
                <w:sz w:val="18"/>
                <w:szCs w:val="18"/>
              </w:rPr>
            </w:pPr>
            <w:r>
              <w:rPr>
                <w:rFonts w:hint="eastAsia" w:asciiTheme="majorEastAsia" w:hAnsiTheme="majorEastAsia" w:eastAsiaTheme="majorEastAsia"/>
                <w:sz w:val="18"/>
                <w:szCs w:val="18"/>
              </w:rPr>
              <w:t>每笔购买起点金额为【1】元；超出起点金额的部分以【0.01】元的整数倍递增。（适用【A</w:t>
            </w:r>
            <w:r>
              <w:rPr>
                <w:rFonts w:asciiTheme="majorEastAsia" w:hAnsiTheme="majorEastAsia" w:eastAsiaTheme="majorEastAsia"/>
                <w:sz w:val="18"/>
                <w:szCs w:val="18"/>
              </w:rPr>
              <w:t>/</w:t>
            </w:r>
            <w:r>
              <w:rPr>
                <w:rFonts w:hint="eastAsia" w:asciiTheme="majorEastAsia" w:hAnsiTheme="majorEastAsia" w:eastAsiaTheme="majorEastAsia"/>
                <w:sz w:val="18"/>
                <w:szCs w:val="18"/>
              </w:rPr>
              <w:t>B</w:t>
            </w:r>
            <w:r>
              <w:rPr>
                <w:rFonts w:asciiTheme="majorEastAsia" w:hAnsiTheme="majorEastAsia" w:eastAsiaTheme="majorEastAsia"/>
                <w:sz w:val="18"/>
                <w:szCs w:val="18"/>
              </w:rPr>
              <w:t>/C</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14"/>
              <w:spacing w:line="360" w:lineRule="auto"/>
              <w:jc w:val="both"/>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14"/>
              <w:spacing w:line="360" w:lineRule="auto"/>
              <w:jc w:val="both"/>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14"/>
              <w:spacing w:line="360" w:lineRule="auto"/>
              <w:jc w:val="both"/>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rPr>
                <w:rFonts w:hAnsi="宋体"/>
                <w:sz w:val="18"/>
                <w:szCs w:val="18"/>
              </w:rPr>
            </w:pPr>
            <w:r>
              <w:rPr>
                <w:rFonts w:hint="eastAsia" w:hAnsi="宋体"/>
                <w:sz w:val="18"/>
                <w:szCs w:val="18"/>
              </w:rPr>
              <w:t>（适用【/】类份额）</w:t>
            </w:r>
          </w:p>
          <w:p>
            <w:pPr>
              <w:autoSpaceDE w:val="0"/>
              <w:autoSpaceDN w:val="0"/>
              <w:adjustRightInd w:val="0"/>
              <w:spacing w:line="360" w:lineRule="auto"/>
              <w:rPr>
                <w:rFonts w:hAnsi="宋体"/>
                <w:b/>
                <w:sz w:val="18"/>
                <w:szCs w:val="18"/>
              </w:rPr>
            </w:pPr>
            <w:r>
              <w:rPr>
                <w:rFonts w:hAnsi="宋体"/>
                <w:b/>
                <w:sz w:val="18"/>
                <w:szCs w:val="18"/>
              </w:rPr>
              <w:t>1.业绩比较基准的设置</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autoSpaceDE w:val="0"/>
              <w:autoSpaceDN w:val="0"/>
              <w:adjustRightInd w:val="0"/>
              <w:spacing w:line="360" w:lineRule="auto"/>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w:t>
            </w:r>
            <w:r>
              <w:rPr>
                <w:rFonts w:hint="eastAsia" w:ascii="宋体" w:hAnsi="宋体"/>
                <w:b/>
                <w:bCs/>
                <w:sz w:val="18"/>
                <w:szCs w:val="18"/>
              </w:rPr>
              <w:t>产品投资债权类资产不低于80%，根据当前市场环境下大类资产合理配置比例及大类资产收益情况，考虑杠杆和费率等因素，并结合产品投资策略，设定业绩比较基准</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rPr>
                <w:rFonts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w:t>
            </w:r>
            <w:r>
              <w:rPr>
                <w:rFonts w:hint="eastAsia" w:ascii="宋体" w:hAnsi="宋体"/>
                <w:bCs/>
                <w:sz w:val="18"/>
                <w:szCs w:val="18"/>
              </w:rPr>
              <w:t>【2.</w:t>
            </w:r>
            <w:r>
              <w:rPr>
                <w:rFonts w:ascii="宋体" w:hAnsi="宋体"/>
                <w:bCs/>
                <w:sz w:val="18"/>
                <w:szCs w:val="18"/>
              </w:rPr>
              <w:t>95</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w:t>
            </w:r>
            <w:r>
              <w:rPr>
                <w:rFonts w:hint="eastAsia" w:ascii="宋体" w:hAnsi="宋体"/>
                <w:bCs/>
                <w:sz w:val="18"/>
                <w:szCs w:val="18"/>
              </w:rPr>
              <w:t>【2.</w:t>
            </w:r>
            <w:r>
              <w:rPr>
                <w:rFonts w:ascii="宋体" w:hAnsi="宋体"/>
                <w:bCs/>
                <w:sz w:val="18"/>
                <w:szCs w:val="18"/>
              </w:rPr>
              <w:t>85</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w:t>
            </w:r>
            <w:r>
              <w:rPr>
                <w:rFonts w:hint="eastAsia" w:ascii="宋体" w:hAnsi="宋体"/>
                <w:bCs/>
                <w:sz w:val="18"/>
                <w:szCs w:val="18"/>
              </w:rPr>
              <w:t>【2.</w:t>
            </w:r>
            <w:r>
              <w:rPr>
                <w:rFonts w:ascii="宋体" w:hAnsi="宋体"/>
                <w:bCs/>
                <w:sz w:val="18"/>
                <w:szCs w:val="18"/>
              </w:rPr>
              <w:t>95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sz w:val="18"/>
                <w:szCs w:val="18"/>
              </w:rPr>
              <w:t>★</w:t>
            </w:r>
            <w:r>
              <w:rPr>
                <w:rFonts w:ascii="黑体" w:hAnsi="黑体" w:eastAsia="黑体"/>
                <w:bCs/>
                <w:sz w:val="18"/>
                <w:szCs w:val="18"/>
              </w:rPr>
              <w:t>业绩比较基准不代表理财产品未来表现，不等于理财产品实际收益，不作为产品收益的业绩保证，投资须谨慎。</w:t>
            </w:r>
          </w:p>
          <w:p>
            <w:pPr>
              <w:spacing w:line="360" w:lineRule="auto"/>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spacing w:line="360" w:lineRule="auto"/>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业绩报酬计提基准：【业绩比较基准】。</w:t>
            </w:r>
          </w:p>
          <w:p>
            <w:pPr>
              <w:spacing w:line="360" w:lineRule="auto"/>
              <w:rPr>
                <w:rFonts w:ascii="宋体" w:hAnsi="宋体"/>
                <w:bCs/>
                <w:sz w:val="18"/>
                <w:szCs w:val="18"/>
              </w:rPr>
            </w:pPr>
            <w:r>
              <w:rPr>
                <w:rFonts w:hint="eastAsia" w:asciiTheme="majorEastAsia" w:hAnsiTheme="majorEastAsia" w:eastAsiaTheme="majorEastAsia"/>
                <w:b/>
                <w:kern w:val="0"/>
                <w:sz w:val="18"/>
                <w:szCs w:val="18"/>
              </w:rPr>
              <w:t>□ 产品管理人不设置业绩报酬计提基准。</w:t>
            </w:r>
          </w:p>
          <w:p>
            <w:pPr>
              <w:spacing w:line="360" w:lineRule="auto"/>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spacing w:line="360" w:lineRule="auto"/>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sz w:val="18"/>
                <w:szCs w:val="18"/>
              </w:rPr>
              <w:t>★</w:t>
            </w:r>
            <w:r>
              <w:rPr>
                <w:rFonts w:hint="eastAsia" w:ascii="黑体" w:hAnsi="黑体" w:eastAsia="黑体"/>
                <w:bCs/>
                <w:sz w:val="18"/>
                <w:szCs w:val="18"/>
              </w:rPr>
              <w:t>业绩报酬计提基准仅作为管理人计算超额业绩报酬的参照标准，不代表理财产品未来表现，不等于理财产品实际收益，不作为产品收益的业绩保证，投资须谨慎。</w:t>
            </w:r>
          </w:p>
          <w:p>
            <w:pPr>
              <w:spacing w:line="360" w:lineRule="auto"/>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（适用【/】类份额）</w:t>
            </w:r>
          </w:p>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sz w:val="18"/>
                <w:szCs w:val="18"/>
              </w:rPr>
            </w:pPr>
            <w:r>
              <w:rPr>
                <w:rFonts w:hint="eastAsia" w:ascii="宋体" w:hAnsi="宋体"/>
                <w:bCs/>
                <w:color w:val="000000" w:themeColor="text1"/>
                <w:sz w:val="18"/>
                <w:szCs w:val="18"/>
                <w14:textFill>
                  <w14:solidFill>
                    <w14:schemeClr w14:val="tx1"/>
                  </w14:solidFill>
                </w14:textFill>
              </w:rPr>
              <w:t>A类份额：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05%</w:t>
            </w:r>
            <w:r>
              <w:rPr>
                <w:rFonts w:hint="eastAsia" w:asciiTheme="majorEastAsia" w:hAnsiTheme="majorEastAsia" w:eastAsiaTheme="majorEastAsia"/>
                <w:sz w:val="18"/>
                <w:szCs w:val="18"/>
              </w:rPr>
              <w:t>】；</w:t>
            </w:r>
          </w:p>
          <w:p>
            <w:pPr>
              <w:spacing w:line="360" w:lineRule="auto"/>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15%</w:t>
            </w:r>
            <w:r>
              <w:rPr>
                <w:rFonts w:hint="eastAsia" w:asciiTheme="majorEastAsia" w:hAnsiTheme="majorEastAsia" w:eastAsiaTheme="majorEastAsia"/>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05%</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【0.01%</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1</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p>
          <w:p>
            <w:pPr>
              <w:widowControl/>
              <w:spacing w:line="360" w:lineRule="auto"/>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50%】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1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0" w:name="_Toc79154666"/>
      <w:bookmarkStart w:id="71" w:name="_Toc116649651"/>
      <w:r>
        <w:rPr>
          <w:rFonts w:ascii="Times New Roman"/>
          <w:sz w:val="30"/>
        </w:rPr>
        <w:t>第</w:t>
      </w:r>
      <w:r>
        <w:rPr>
          <w:rFonts w:hint="eastAsia" w:ascii="Times New Roman"/>
          <w:sz w:val="30"/>
        </w:rPr>
        <w:t>三条</w:t>
      </w:r>
      <w:r>
        <w:rPr>
          <w:rFonts w:ascii="Times New Roman"/>
          <w:sz w:val="30"/>
        </w:rPr>
        <w:t xml:space="preserve">  </w:t>
      </w:r>
      <w:bookmarkStart w:id="72" w:name="_Toc79392573"/>
      <w:r>
        <w:rPr>
          <w:rFonts w:hint="eastAsia" w:ascii="Times New Roman"/>
          <w:sz w:val="30"/>
        </w:rPr>
        <w:t>理财产品的认购</w:t>
      </w:r>
      <w:bookmarkEnd w:id="70"/>
      <w:bookmarkEnd w:id="71"/>
    </w:p>
    <w:p>
      <w:pPr>
        <w:spacing w:line="360" w:lineRule="auto"/>
        <w:ind w:firstLine="361" w:firstLineChars="200"/>
        <w:rPr>
          <w:rFonts w:asciiTheme="minorEastAsia" w:hAnsiTheme="minorEastAsia"/>
          <w:b/>
          <w:bCs/>
          <w:sz w:val="18"/>
          <w:szCs w:val="18"/>
        </w:rPr>
      </w:pPr>
      <w:bookmarkStart w:id="73" w:name="_Hlt88031774"/>
      <w:bookmarkEnd w:id="73"/>
      <w:bookmarkStart w:id="7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1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1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8"/>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1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1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1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1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72"/>
    <w:bookmarkEnd w:id="74"/>
    <w:p>
      <w:pPr>
        <w:pStyle w:val="2"/>
        <w:spacing w:before="0" w:after="0" w:line="360" w:lineRule="auto"/>
        <w:jc w:val="center"/>
        <w:rPr>
          <w:rFonts w:ascii="Times New Roman"/>
          <w:sz w:val="30"/>
        </w:rPr>
      </w:pPr>
      <w:bookmarkStart w:id="75" w:name="_Toc116649652"/>
      <w:bookmarkStart w:id="76" w:name="_Toc4771"/>
      <w:bookmarkStart w:id="77" w:name="_Toc90742390"/>
      <w:bookmarkStart w:id="78" w:name="_Toc29948"/>
      <w:bookmarkStart w:id="79" w:name="_Toc6714"/>
      <w:bookmarkStart w:id="80" w:name="_Toc22074"/>
      <w:bookmarkStart w:id="81" w:name="_Toc27226"/>
      <w:bookmarkStart w:id="82" w:name="_Toc3266"/>
      <w:bookmarkStart w:id="83" w:name="_Toc15203"/>
      <w:bookmarkStart w:id="84" w:name="_Toc74065741"/>
      <w:bookmarkStart w:id="85" w:name="_Toc79154668"/>
      <w:bookmarkStart w:id="86" w:name="_Toc16265"/>
      <w:bookmarkStart w:id="87" w:name="_Toc7151"/>
      <w:bookmarkStart w:id="88" w:name="_Toc90742688"/>
      <w:bookmarkStart w:id="89" w:name="_Toc29784"/>
      <w:bookmarkStart w:id="90" w:name="_Toc90742321"/>
      <w:bookmarkStart w:id="91" w:name="_Toc27189"/>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75"/>
      <w:bookmarkEnd w:id="76"/>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2"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
      <w:pPr>
        <w:pStyle w:val="1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（2）剩余期限在397天以内（含397天）的债券、在银行间市场和证券交易所市场发行的资产支持证券；</w:t>
      </w:r>
    </w:p>
    <w:p>
      <w:pPr>
        <w:autoSpaceDE w:val="0"/>
        <w:autoSpaceDN w:val="0"/>
        <w:adjustRightInd w:val="0"/>
        <w:spacing w:line="360" w:lineRule="auto"/>
        <w:ind w:firstLine="360" w:firstLineChars="200"/>
        <w:jc w:val="left"/>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（3）符合监管要求的债权类资产；</w:t>
      </w:r>
    </w:p>
    <w:p>
      <w:pPr>
        <w:autoSpaceDE w:val="0"/>
        <w:autoSpaceDN w:val="0"/>
        <w:adjustRightInd w:val="0"/>
        <w:spacing w:line="360" w:lineRule="auto"/>
        <w:ind w:firstLine="360" w:firstLineChars="200"/>
        <w:jc w:val="left"/>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（4）国债期货、利率互换、债券借贷、信用风险缓释工具等；</w:t>
      </w:r>
    </w:p>
    <w:p>
      <w:pPr>
        <w:autoSpaceDE w:val="0"/>
        <w:autoSpaceDN w:val="0"/>
        <w:adjustRightInd w:val="0"/>
        <w:spacing w:line="360" w:lineRule="auto"/>
        <w:ind w:firstLine="360" w:firstLineChars="200"/>
        <w:jc w:val="left"/>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autoSpaceDE w:val="0"/>
        <w:autoSpaceDN w:val="0"/>
        <w:adjustRightInd w:val="0"/>
        <w:spacing w:line="360" w:lineRule="auto"/>
        <w:ind w:firstLine="360" w:firstLineChars="200"/>
        <w:jc w:val="left"/>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（1）本产品投资于债权类资产的比例不低于产品总资产的80%。</w:t>
      </w:r>
    </w:p>
    <w:p>
      <w:pPr>
        <w:autoSpaceDE w:val="0"/>
        <w:autoSpaceDN w:val="0"/>
        <w:adjustRightInd w:val="0"/>
        <w:spacing w:line="360" w:lineRule="auto"/>
        <w:ind w:firstLine="360" w:firstLineChars="200"/>
        <w:jc w:val="left"/>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（2）以套期保值、风险对冲为目的的国债期货、利率互换、信用风险缓释工具等衍生品占产品总资产比例低于10%。</w:t>
      </w:r>
    </w:p>
    <w:p>
      <w:pPr>
        <w:autoSpaceDE w:val="0"/>
        <w:autoSpaceDN w:val="0"/>
        <w:adjustRightInd w:val="0"/>
        <w:spacing w:line="360" w:lineRule="auto"/>
        <w:ind w:firstLine="360" w:firstLineChars="200"/>
        <w:jc w:val="left"/>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（3）符合监管要求的非标准化债权类资产低于产品净资产的50%。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（4）投资于同业存单及存款类资产的比例不低于产品净资产的50%。</w:t>
      </w:r>
    </w:p>
    <w:p>
      <w:pPr>
        <w:autoSpaceDE w:val="0"/>
        <w:autoSpaceDN w:val="0"/>
        <w:adjustRightInd w:val="0"/>
        <w:spacing w:line="360" w:lineRule="auto"/>
        <w:ind w:firstLine="361" w:firstLineChars="200"/>
        <w:jc w:val="left"/>
        <w:rPr>
          <w:rFonts w:asciiTheme="majorEastAsia" w:hAnsiTheme="majorEastAsia" w:eastAsiaTheme="majorEastAsia"/>
          <w:bCs/>
          <w:kern w:val="0"/>
          <w:sz w:val="18"/>
          <w:szCs w:val="18"/>
        </w:rPr>
      </w:pPr>
      <w:r>
        <w:rPr>
          <w:rFonts w:asciiTheme="majorEastAsia" w:hAnsiTheme="majorEastAsia" w:eastAsiaTheme="majorEastAsia"/>
          <w:b/>
          <w:bCs/>
          <w:kern w:val="0"/>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1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1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（1）每只公募理财产品投资单只证券或者单只公募证券投资基金的市值不得超过该理财产品净资产的10%。</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（3）全部理财产品持有单一上市公司发行的股票，不得超过该上市公司可流通股票的30%。</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（4）全部开放式公募理财产品投资单一上市公司发行的股票不得超过该上市公司可流通股票的15%。</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（5）本产品因为流动性需要可开展存单质押、债券正回购等融资业务，本产品总资产不超过净资产的200%。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（6）本产品投资于信用债券、银行存款、非标准化债权类资产融资人的信用评级均不得低于AA+。</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14"/>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【产品采取绝对收益策略，追求资产长期稳定增值。】</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3" w:name="_Toc14893"/>
      <w:bookmarkStart w:id="94" w:name="_Toc18526"/>
      <w:bookmarkStart w:id="95" w:name="_Toc79154669"/>
      <w:bookmarkStart w:id="96" w:name="_Toc21988"/>
      <w:bookmarkStart w:id="97" w:name="_Toc141703885"/>
      <w:bookmarkStart w:id="98" w:name="_Toc17912"/>
      <w:bookmarkStart w:id="99" w:name="_Toc74065742"/>
      <w:bookmarkStart w:id="100" w:name="_Toc4741"/>
      <w:bookmarkStart w:id="101" w:name="_Toc18329"/>
      <w:bookmarkStart w:id="102" w:name="_Toc116649654"/>
      <w:bookmarkStart w:id="103" w:name="_Toc7848"/>
      <w:bookmarkStart w:id="104" w:name="_Toc139991735"/>
      <w:bookmarkStart w:id="105" w:name="_Toc26986"/>
      <w:bookmarkStart w:id="106" w:name="_Toc18797"/>
      <w:bookmarkStart w:id="107" w:name="_Toc1823"/>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14"/>
        <w:spacing w:line="360" w:lineRule="auto"/>
        <w:ind w:firstLine="361" w:firstLineChars="200"/>
        <w:rPr>
          <w:rFonts w:asciiTheme="majorEastAsia" w:hAnsiTheme="majorEastAsia" w:eastAsiaTheme="majorEastAsia"/>
          <w:b/>
          <w:color w:val="auto"/>
          <w:sz w:val="18"/>
          <w:szCs w:val="18"/>
        </w:rPr>
      </w:pPr>
      <w:bookmarkStart w:id="108" w:name="_Hlk490214295"/>
      <w:r>
        <w:rPr>
          <w:rFonts w:hint="eastAsia" w:asciiTheme="majorEastAsia" w:hAnsiTheme="majorEastAsia" w:eastAsiaTheme="majorEastAsia"/>
          <w:b/>
          <w:color w:val="auto"/>
          <w:sz w:val="18"/>
          <w:szCs w:val="18"/>
        </w:rPr>
        <w:t>（一）理财产品的资产的保管和处分</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08"/>
    <w:p>
      <w:pPr>
        <w:pStyle w:val="2"/>
        <w:spacing w:before="0" w:after="0" w:line="360" w:lineRule="auto"/>
        <w:jc w:val="center"/>
        <w:rPr>
          <w:rFonts w:ascii="Times New Roman"/>
          <w:sz w:val="30"/>
        </w:rPr>
      </w:pPr>
      <w:bookmarkStart w:id="109" w:name="_Toc10463"/>
      <w:bookmarkStart w:id="110" w:name="_Toc1427"/>
      <w:bookmarkStart w:id="111" w:name="_Toc23261"/>
      <w:bookmarkStart w:id="112" w:name="_Toc139991736"/>
      <w:bookmarkStart w:id="113" w:name="_Toc17244"/>
      <w:bookmarkStart w:id="114" w:name="_Toc7920"/>
      <w:bookmarkStart w:id="115" w:name="_Toc141703886"/>
      <w:bookmarkStart w:id="116" w:name="_Toc48649707"/>
      <w:bookmarkStart w:id="117" w:name="_Toc1270"/>
      <w:bookmarkStart w:id="118" w:name="_Toc79392606"/>
      <w:bookmarkStart w:id="119" w:name="_Toc123051452"/>
      <w:bookmarkStart w:id="120" w:name="_Toc610"/>
      <w:bookmarkStart w:id="121" w:name="_Toc23822"/>
      <w:bookmarkStart w:id="122" w:name="_Toc74065743"/>
      <w:bookmarkStart w:id="123" w:name="_Toc123102453"/>
      <w:bookmarkStart w:id="124" w:name="_Toc79154670"/>
      <w:bookmarkStart w:id="125" w:name="_Toc20733"/>
      <w:bookmarkStart w:id="126" w:name="_Toc123112234"/>
      <w:bookmarkStart w:id="127" w:name="_Toc4003"/>
      <w:bookmarkStart w:id="128" w:name="_Toc98560352"/>
      <w:bookmarkStart w:id="129" w:name="_Toc116649655"/>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1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14"/>
        <w:spacing w:line="360" w:lineRule="auto"/>
        <w:ind w:firstLine="361" w:firstLineChars="200"/>
        <w:rPr>
          <w:rFonts w:hAnsi="宋体"/>
          <w:b/>
          <w:bCs/>
          <w:sz w:val="18"/>
          <w:szCs w:val="18"/>
        </w:rPr>
      </w:pPr>
      <w:r>
        <w:rPr>
          <w:rFonts w:hint="eastAsia" w:hAnsi="宋体"/>
          <w:b/>
          <w:bCs/>
          <w:sz w:val="18"/>
          <w:szCs w:val="18"/>
        </w:rPr>
        <w:t>（一）估值目的</w:t>
      </w:r>
    </w:p>
    <w:p>
      <w:pPr>
        <w:pStyle w:val="1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14"/>
        <w:spacing w:line="360" w:lineRule="auto"/>
        <w:ind w:firstLine="361" w:firstLineChars="200"/>
        <w:rPr>
          <w:rFonts w:hAnsi="宋体"/>
          <w:b/>
          <w:bCs/>
          <w:sz w:val="18"/>
          <w:szCs w:val="18"/>
        </w:rPr>
      </w:pPr>
      <w:r>
        <w:rPr>
          <w:rFonts w:hint="eastAsia" w:hAnsi="宋体"/>
          <w:b/>
          <w:bCs/>
          <w:sz w:val="18"/>
          <w:szCs w:val="18"/>
        </w:rPr>
        <w:t>（二）估值频率</w:t>
      </w:r>
    </w:p>
    <w:p>
      <w:pPr>
        <w:pStyle w:val="14"/>
        <w:spacing w:line="360" w:lineRule="auto"/>
        <w:ind w:firstLine="450" w:firstLineChars="250"/>
        <w:rPr>
          <w:sz w:val="18"/>
          <w:szCs w:val="18"/>
        </w:rPr>
      </w:pPr>
      <w:r>
        <w:rPr>
          <w:rFonts w:hint="eastAsia" w:hAnsi="宋体"/>
          <w:sz w:val="18"/>
          <w:szCs w:val="18"/>
        </w:rPr>
        <w:t>本产品存续期间，每【周】进行一次估值。如遇产品到期日、季度末、半年度末、年度末等时间节点管理人将增加估值日。</w:t>
      </w:r>
    </w:p>
    <w:p>
      <w:pPr>
        <w:pStyle w:val="14"/>
        <w:spacing w:line="360" w:lineRule="auto"/>
        <w:ind w:firstLine="452" w:firstLineChars="250"/>
        <w:rPr>
          <w:rFonts w:hAnsi="宋体"/>
          <w:b/>
          <w:bCs/>
          <w:sz w:val="18"/>
          <w:szCs w:val="18"/>
        </w:rPr>
      </w:pPr>
      <w:r>
        <w:rPr>
          <w:rFonts w:hint="eastAsia" w:hAnsi="宋体"/>
          <w:b/>
          <w:bCs/>
          <w:sz w:val="18"/>
          <w:szCs w:val="18"/>
        </w:rPr>
        <w:t>（三）估值对象</w:t>
      </w:r>
    </w:p>
    <w:p>
      <w:pPr>
        <w:pStyle w:val="1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14"/>
        <w:spacing w:line="360" w:lineRule="auto"/>
        <w:ind w:firstLine="452" w:firstLineChars="250"/>
        <w:rPr>
          <w:rFonts w:hAnsi="宋体"/>
          <w:b/>
          <w:bCs/>
          <w:sz w:val="18"/>
          <w:szCs w:val="18"/>
        </w:rPr>
      </w:pPr>
      <w:r>
        <w:rPr>
          <w:rFonts w:hint="eastAsia" w:hAnsi="宋体"/>
          <w:b/>
          <w:bCs/>
          <w:sz w:val="18"/>
          <w:szCs w:val="18"/>
        </w:rPr>
        <w:t>（四）估值方法</w:t>
      </w:r>
    </w:p>
    <w:p>
      <w:pPr>
        <w:pStyle w:val="1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1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1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1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1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1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1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1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1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1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1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1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1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1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1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1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1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1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1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1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1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1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14"/>
        <w:spacing w:line="360" w:lineRule="auto"/>
        <w:ind w:firstLine="360" w:firstLineChars="200"/>
        <w:rPr>
          <w:rFonts w:hAnsi="宋体"/>
          <w:sz w:val="18"/>
          <w:szCs w:val="18"/>
        </w:rPr>
      </w:pPr>
      <w:r>
        <w:rPr>
          <w:rFonts w:hint="eastAsia" w:hAnsi="宋体"/>
          <w:sz w:val="18"/>
          <w:szCs w:val="18"/>
        </w:rPr>
        <w:t>（1）非上市基金估值</w:t>
      </w:r>
    </w:p>
    <w:p>
      <w:pPr>
        <w:pStyle w:val="1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1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14"/>
        <w:spacing w:line="360" w:lineRule="auto"/>
        <w:ind w:firstLine="360" w:firstLineChars="200"/>
        <w:rPr>
          <w:rFonts w:hAnsi="宋体"/>
          <w:sz w:val="18"/>
          <w:szCs w:val="18"/>
        </w:rPr>
      </w:pPr>
      <w:r>
        <w:rPr>
          <w:rFonts w:hint="eastAsia" w:hAnsi="宋体"/>
          <w:sz w:val="18"/>
          <w:szCs w:val="18"/>
        </w:rPr>
        <w:t>（2）上市基金估值</w:t>
      </w:r>
    </w:p>
    <w:p>
      <w:pPr>
        <w:pStyle w:val="1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1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1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1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1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1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1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1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1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1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14"/>
        <w:spacing w:line="360" w:lineRule="auto"/>
        <w:ind w:firstLine="361" w:firstLineChars="200"/>
        <w:rPr>
          <w:rFonts w:hAnsi="宋体"/>
          <w:b/>
          <w:bCs/>
          <w:sz w:val="18"/>
          <w:szCs w:val="18"/>
        </w:rPr>
      </w:pPr>
      <w:r>
        <w:rPr>
          <w:rFonts w:hint="eastAsia" w:hAnsi="宋体"/>
          <w:b/>
          <w:bCs/>
          <w:sz w:val="18"/>
          <w:szCs w:val="18"/>
        </w:rPr>
        <w:t>（五）估值程序</w:t>
      </w:r>
    </w:p>
    <w:p>
      <w:pPr>
        <w:pStyle w:val="1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1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1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14"/>
        <w:spacing w:line="360" w:lineRule="auto"/>
        <w:ind w:firstLine="361" w:firstLineChars="200"/>
        <w:rPr>
          <w:rFonts w:hAnsi="宋体"/>
          <w:b/>
          <w:bCs/>
          <w:sz w:val="18"/>
          <w:szCs w:val="18"/>
        </w:rPr>
      </w:pPr>
      <w:r>
        <w:rPr>
          <w:rFonts w:hint="eastAsia" w:hAnsi="宋体"/>
          <w:b/>
          <w:bCs/>
          <w:sz w:val="18"/>
          <w:szCs w:val="18"/>
        </w:rPr>
        <w:t>（六）估值主体</w:t>
      </w:r>
    </w:p>
    <w:p>
      <w:pPr>
        <w:pStyle w:val="1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130" w:name="_Hlt70481650"/>
      <w:bookmarkEnd w:id="130"/>
      <w:bookmarkStart w:id="131" w:name="_Toc123051453"/>
      <w:bookmarkStart w:id="132" w:name="_Toc123102454"/>
      <w:bookmarkStart w:id="133" w:name="_Toc15143"/>
      <w:bookmarkStart w:id="134" w:name="_Toc12245"/>
      <w:bookmarkStart w:id="135" w:name="_Toc3601"/>
      <w:bookmarkStart w:id="136" w:name="_Toc74065744"/>
      <w:bookmarkStart w:id="137" w:name="_Toc141703887"/>
      <w:bookmarkStart w:id="138" w:name="_Toc31235"/>
      <w:bookmarkStart w:id="139" w:name="_Toc29251"/>
      <w:bookmarkStart w:id="140" w:name="_Toc98560353"/>
      <w:bookmarkStart w:id="141" w:name="_Toc31644"/>
      <w:bookmarkStart w:id="142" w:name="_Toc31653"/>
      <w:bookmarkStart w:id="143" w:name="_Toc79154671"/>
      <w:bookmarkStart w:id="144" w:name="_Toc26207"/>
      <w:bookmarkStart w:id="145" w:name="_Toc123112235"/>
      <w:bookmarkStart w:id="146" w:name="_Toc116649656"/>
      <w:bookmarkStart w:id="147" w:name="_Toc14835"/>
      <w:bookmarkStart w:id="148" w:name="_Toc139991737"/>
      <w:bookmarkStart w:id="149" w:name="_Toc640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0" w:name="_Hlt55355235"/>
      <w:bookmarkEnd w:id="150"/>
      <w:bookmarkStart w:id="151" w:name="_Toc57530239"/>
      <w:bookmarkStart w:id="152" w:name="_Toc79392580"/>
      <w:bookmarkStart w:id="153" w:name="_Toc523711668"/>
      <w:bookmarkStart w:id="154" w:name="_Toc15118234"/>
    </w:p>
    <w:p>
      <w:pPr>
        <w:pStyle w:val="1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1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1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1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1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1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1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1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14"/>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1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1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1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1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14"/>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1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1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1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
      <w:pPr>
        <w:widowControl/>
        <w:spacing w:line="360" w:lineRule="auto"/>
        <w:jc w:val="left"/>
        <w:rPr>
          <w:rFonts w:ascii="宋体" w:hAnsi="宋体"/>
          <w:kern w:val="0"/>
          <w:sz w:val="18"/>
          <w:szCs w:val="18"/>
        </w:rPr>
      </w:pPr>
      <w:r>
        <w:rPr>
          <w:rFonts w:hAnsi="宋体"/>
          <w:sz w:val="18"/>
          <w:szCs w:val="18"/>
        </w:rPr>
        <w:br w:type="page"/>
      </w:r>
    </w:p>
    <w:bookmarkEnd w:id="151"/>
    <w:bookmarkEnd w:id="152"/>
    <w:bookmarkEnd w:id="153"/>
    <w:bookmarkEnd w:id="154"/>
    <w:p>
      <w:pPr>
        <w:pStyle w:val="2"/>
        <w:spacing w:before="0" w:after="0" w:line="360" w:lineRule="auto"/>
        <w:jc w:val="center"/>
        <w:rPr>
          <w:rFonts w:ascii="Times New Roman"/>
          <w:sz w:val="30"/>
        </w:rPr>
      </w:pPr>
      <w:bookmarkStart w:id="155" w:name="_Hlt88897298"/>
      <w:bookmarkEnd w:id="155"/>
      <w:bookmarkStart w:id="156" w:name="_Hlt88825574"/>
      <w:bookmarkEnd w:id="156"/>
      <w:bookmarkStart w:id="157" w:name="_Toc4559"/>
      <w:bookmarkStart w:id="158" w:name="_Toc9706"/>
      <w:bookmarkStart w:id="159" w:name="_Toc18567"/>
      <w:bookmarkStart w:id="160" w:name="_Toc139991738"/>
      <w:bookmarkStart w:id="161" w:name="_Toc6447"/>
      <w:bookmarkStart w:id="162" w:name="_Toc141703888"/>
      <w:bookmarkStart w:id="163" w:name="_Toc98560354"/>
      <w:bookmarkStart w:id="164" w:name="_Toc74065745"/>
      <w:bookmarkStart w:id="165" w:name="_Toc11030"/>
      <w:bookmarkStart w:id="166" w:name="_Toc123102455"/>
      <w:bookmarkStart w:id="167" w:name="_Toc3771"/>
      <w:bookmarkStart w:id="168" w:name="_Toc123051454"/>
      <w:bookmarkStart w:id="169" w:name="_Toc25783"/>
      <w:bookmarkStart w:id="170" w:name="_Toc116649657"/>
      <w:bookmarkStart w:id="171" w:name="_Toc7058"/>
      <w:bookmarkStart w:id="172" w:name="_Toc79392583"/>
      <w:bookmarkStart w:id="173" w:name="_Toc3321"/>
      <w:bookmarkStart w:id="174" w:name="_Toc10650"/>
      <w:bookmarkStart w:id="175" w:name="_Toc79154672"/>
      <w:bookmarkStart w:id="176" w:name="_Toc123112236"/>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1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1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1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77" w:name="_Toc1745"/>
      <w:bookmarkStart w:id="178" w:name="_Toc3963"/>
      <w:r>
        <w:br w:type="page"/>
      </w:r>
      <w:bookmarkStart w:id="179" w:name="_Toc141703889"/>
      <w:bookmarkStart w:id="180" w:name="_Toc123102456"/>
      <w:bookmarkStart w:id="181" w:name="_Toc725"/>
      <w:bookmarkStart w:id="182" w:name="_Toc16164"/>
      <w:bookmarkStart w:id="183" w:name="_Toc21735"/>
      <w:bookmarkStart w:id="184" w:name="_Toc31821"/>
      <w:bookmarkStart w:id="185" w:name="_Toc98560355"/>
      <w:bookmarkStart w:id="186" w:name="_Toc3080"/>
      <w:bookmarkStart w:id="187" w:name="_Toc79154673"/>
      <w:bookmarkStart w:id="188" w:name="_Toc10398"/>
      <w:bookmarkStart w:id="189" w:name="_Toc139991739"/>
      <w:bookmarkStart w:id="190" w:name="_Toc74065746"/>
      <w:bookmarkStart w:id="191" w:name="_Toc3572"/>
      <w:bookmarkStart w:id="192" w:name="_Toc123051455"/>
      <w:bookmarkStart w:id="193" w:name="_Toc116649658"/>
      <w:bookmarkStart w:id="194" w:name="_Toc123112237"/>
      <w:bookmarkStart w:id="195" w:name="_Toc18206"/>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spacing w:line="360" w:lineRule="auto"/>
        <w:ind w:firstLine="361" w:firstLineChars="200"/>
        <w:rPr>
          <w:rFonts w:asciiTheme="majorEastAsia" w:hAnsiTheme="majorEastAsia" w:eastAsiaTheme="majorEastAsia"/>
          <w:b/>
          <w:bCs/>
          <w:sz w:val="18"/>
          <w:szCs w:val="18"/>
        </w:rPr>
      </w:pPr>
      <w:bookmarkStart w:id="196" w:name="_Toc15118245"/>
      <w:bookmarkStart w:id="197" w:name="_Toc79392593"/>
      <w:bookmarkStart w:id="198"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96"/>
    <w:bookmarkEnd w:id="197"/>
    <w:bookmarkEnd w:id="198"/>
    <w:p>
      <w:pPr>
        <w:pStyle w:val="2"/>
        <w:spacing w:before="0" w:after="0" w:line="360" w:lineRule="auto"/>
        <w:jc w:val="center"/>
        <w:rPr>
          <w:rFonts w:ascii="Times New Roman"/>
          <w:sz w:val="30"/>
        </w:rPr>
      </w:pPr>
      <w:r>
        <w:rPr>
          <w:rFonts w:ascii="Times New Roman"/>
          <w:b w:val="0"/>
          <w:bCs w:val="0"/>
          <w:kern w:val="2"/>
        </w:rPr>
        <w:br w:type="page"/>
      </w:r>
      <w:bookmarkStart w:id="199" w:name="_Toc123051456"/>
      <w:bookmarkStart w:id="200" w:name="_Toc98560356"/>
      <w:bookmarkStart w:id="201" w:name="_Toc32584"/>
      <w:bookmarkStart w:id="202" w:name="_Toc739"/>
      <w:bookmarkStart w:id="203" w:name="_Toc123102457"/>
      <w:bookmarkStart w:id="204" w:name="_Toc5170"/>
      <w:bookmarkStart w:id="205" w:name="_Toc139991740"/>
      <w:bookmarkStart w:id="206" w:name="_Toc17198"/>
      <w:bookmarkStart w:id="207" w:name="_Toc3329"/>
      <w:bookmarkStart w:id="208" w:name="_Toc29408"/>
      <w:bookmarkStart w:id="209" w:name="_Toc8791"/>
      <w:bookmarkStart w:id="210" w:name="_Toc21237"/>
      <w:bookmarkStart w:id="211" w:name="_Toc79392622"/>
      <w:bookmarkStart w:id="212" w:name="_Toc79154674"/>
      <w:bookmarkStart w:id="213" w:name="_Toc116649659"/>
      <w:bookmarkStart w:id="214" w:name="_Toc123112238"/>
      <w:bookmarkStart w:id="215" w:name="_Toc32092"/>
      <w:bookmarkStart w:id="216" w:name="_Toc74065747"/>
      <w:bookmarkStart w:id="217" w:name="_Toc17920"/>
      <w:bookmarkStart w:id="218" w:name="_Toc48649708"/>
      <w:bookmarkStart w:id="219" w:name="_Toc141703890"/>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hAnsi="宋体"/>
          <w:sz w:val="18"/>
          <w:szCs w:val="18"/>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p>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220" w:name="_Toc79154675"/>
      <w:bookmarkStart w:id="221"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220"/>
      <w:bookmarkEnd w:id="22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
      <w:pPr>
        <w:pStyle w:val="12"/>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pStyle w:val="14"/>
        <w:spacing w:line="360" w:lineRule="auto"/>
        <w:rPr>
          <w:rFonts w:hAnsi="宋体"/>
          <w:sz w:val="18"/>
          <w:szCs w:val="18"/>
        </w:rPr>
      </w:pPr>
    </w:p>
    <w:p>
      <w:pPr>
        <w:spacing w:line="360" w:lineRule="auto"/>
        <w:jc w:val="left"/>
        <w:rPr>
          <w:rFonts w:hint="eastAsia" w:ascii="宋体" w:hAnsi="宋体"/>
          <w:b/>
          <w:sz w:val="18"/>
          <w:szCs w:val="18"/>
        </w:rPr>
        <w:sectPr>
          <w:headerReference r:id="rId7" w:type="default"/>
          <w:footerReference r:id="rId8" w:type="default"/>
          <w:pgSz w:w="11906" w:h="16838"/>
          <w:pgMar w:top="1276" w:right="1800" w:bottom="1418" w:left="1800" w:header="567" w:footer="964" w:gutter="0"/>
          <w:pgNumType w:start="1"/>
          <w:cols w:space="425" w:num="1"/>
          <w:docGrid w:type="lines" w:linePitch="312" w:charSpace="0"/>
        </w:sectPr>
      </w:pPr>
    </w:p>
    <w:p>
      <w:pPr>
        <w:widowControl/>
        <w:spacing w:before="156"/>
        <w:jc w:val="center"/>
        <w:rPr>
          <w:rFonts w:ascii="黑体" w:hAnsi="黑体" w:eastAsia="黑体"/>
          <w:b/>
          <w:bCs/>
          <w:sz w:val="28"/>
          <w:szCs w:val="28"/>
        </w:rPr>
      </w:pPr>
      <w:r>
        <w:rPr>
          <w:rFonts w:hint="eastAsia" w:ascii="黑体" w:hAnsi="黑体" w:eastAsia="黑体"/>
          <w:b/>
          <w:bCs/>
          <w:sz w:val="28"/>
          <w:szCs w:val="28"/>
        </w:rPr>
        <w:t>兴银理财【稳利恒盈】封闭式理财产品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7"/>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4"/>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sym w:font="Wingdings 2" w:char="0052"/>
            </w:r>
            <w:r>
              <w:rPr>
                <w:rFonts w:hint="eastAsia" w:asciiTheme="majorEastAsia" w:hAnsiTheme="majorEastAsia" w:eastAsiaTheme="majorEastAsia"/>
                <w:bCs/>
                <w:sz w:val="18"/>
                <w:szCs w:val="18"/>
              </w:rPr>
              <w:t xml:space="preserve">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r>
              <w:rPr>
                <w:rFonts w:hint="eastAsia" w:ascii="宋体" w:hAnsi="宋体"/>
                <w:sz w:val="18"/>
                <w:szCs w:val="18"/>
              </w:rPr>
              <w:t>福建省农村信用社联合社</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14"/>
              <w:jc w:val="both"/>
              <w:rPr>
                <w:rFonts w:hAnsi="宋体"/>
                <w:bCs/>
                <w:sz w:val="18"/>
                <w:szCs w:val="18"/>
              </w:rPr>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4"/>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4"/>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sym w:font="Wingdings 2" w:char="0052"/>
      </w: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r>
        <w:rPr>
          <w:rFonts w:hint="eastAsia" w:ascii="宋体" w:hAnsi="宋体" w:cs="仿宋_GB2312"/>
          <w:kern w:val="0"/>
          <w:sz w:val="18"/>
          <w:szCs w:val="18"/>
          <w:lang w:val="en-US" w:eastAsia="zh-CN"/>
        </w:rPr>
        <w:t>5</w:t>
      </w:r>
      <w:r>
        <w:rPr>
          <w:rFonts w:hint="eastAsia" w:ascii="宋体" w:hAnsi="宋体" w:cs="仿宋_GB2312"/>
          <w:kern w:val="0"/>
          <w:sz w:val="18"/>
          <w:szCs w:val="18"/>
        </w:rPr>
        <w:t>】个风险等级</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cs="仿宋_GB2312"/>
          <w:kern w:val="0"/>
          <w:sz w:val="18"/>
          <w:szCs w:val="18"/>
          <w:lang w:val="en-US" w:eastAsia="zh-CN"/>
        </w:rPr>
        <w:t>R1（低风险）、R2（中低风险）、R3（中等风险）、R4（中高风险）、R5（高风险）</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若干等级。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4"/>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参照本条第（1）款非机构投资者要求执行；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其他：</w:t>
      </w:r>
      <w:r>
        <w:rPr>
          <w:rFonts w:hint="eastAsia" w:asciiTheme="majorEastAsia" w:hAnsiTheme="majorEastAsia" w:eastAsiaTheme="majorEastAsia"/>
          <w:sz w:val="18"/>
          <w:szCs w:val="18"/>
          <w:u w:val="single"/>
        </w:rPr>
        <w:t xml:space="preserve">                               。</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spacing w:line="360" w:lineRule="auto"/>
        <w:ind w:firstLine="361" w:firstLineChars="200"/>
        <w:jc w:val="left"/>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hint="eastAsia" w:ascii="宋体" w:hAnsi="宋体"/>
          <w:b/>
          <w:sz w:val="18"/>
          <w:szCs w:val="18"/>
        </w:rPr>
        <w:sectPr>
          <w:headerReference r:id="rId9" w:type="default"/>
          <w:footerReference r:id="rId10" w:type="default"/>
          <w:pgSz w:w="11906" w:h="16838"/>
          <w:pgMar w:top="1440" w:right="1800" w:bottom="1440" w:left="1800" w:header="567" w:footer="964" w:gutter="0"/>
          <w:cols w:space="425" w:num="1"/>
          <w:docGrid w:type="lines" w:linePitch="312" w:charSpace="0"/>
        </w:sect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兴银理财稳利安盈封闭式</w:t>
      </w:r>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bCs/>
          <w:sz w:val="18"/>
          <w:szCs w:val="18"/>
        </w:rPr>
        <w:t>兴银理财稳利安盈封闭式2023年31期固收类理财产品</w:t>
      </w:r>
      <w:r>
        <w:rPr>
          <w:rFonts w:hint="eastAsia" w:ascii="宋体" w:hAnsi="宋体" w:cs="仿宋_GB2312"/>
          <w:kern w:val="0"/>
          <w:sz w:val="18"/>
          <w:szCs w:val="18"/>
        </w:rPr>
        <w:t>】</w:t>
      </w:r>
    </w:p>
    <w:p>
      <w:pPr>
        <w:ind w:firstLine="448" w:firstLineChars="249"/>
        <w:rPr>
          <w:rFonts w:asciiTheme="majorEastAsia" w:hAnsiTheme="majorEastAsia" w:eastAsiaTheme="majorEastAsia"/>
          <w:bCs/>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
    <w:p>
      <w:pPr>
        <w:ind w:firstLine="448" w:firstLineChars="249"/>
        <w:rPr>
          <w:rFonts w:asciiTheme="majorEastAsia" w:hAnsiTheme="majorEastAsia" w:eastAsiaTheme="majorEastAsia"/>
          <w:bCs/>
          <w:kern w:val="0"/>
          <w:sz w:val="18"/>
          <w:szCs w:val="18"/>
        </w:rPr>
      </w:pPr>
      <w:r>
        <w:rPr>
          <w:rFonts w:asciiTheme="majorEastAsia" w:hAnsiTheme="majorEastAsia" w:eastAsiaTheme="majorEastAsia"/>
          <w:bCs/>
          <w:kern w:val="0"/>
          <w:sz w:val="18"/>
          <w:szCs w:val="18"/>
        </w:rPr>
        <w:t>【</w:t>
      </w:r>
      <w:r>
        <w:rPr>
          <w:rFonts w:hint="eastAsia" w:ascii="宋体" w:hAnsi="宋体"/>
          <w:bCs/>
          <w:sz w:val="18"/>
          <w:szCs w:val="18"/>
        </w:rPr>
        <w:t>稳利安盈封闭式2023年31期A</w:t>
      </w:r>
      <w:r>
        <w:rPr>
          <w:rFonts w:hint="eastAsia" w:asciiTheme="majorEastAsia" w:hAnsiTheme="majorEastAsia" w:eastAsiaTheme="majorEastAsia"/>
          <w:bCs/>
          <w:kern w:val="0"/>
          <w:sz w:val="18"/>
          <w:szCs w:val="18"/>
        </w:rPr>
        <w:t>】（适用【A】类份额）</w:t>
      </w:r>
    </w:p>
    <w:p>
      <w:pPr>
        <w:ind w:firstLine="448" w:firstLineChars="249"/>
        <w:rPr>
          <w:rFonts w:asciiTheme="majorEastAsia" w:hAnsiTheme="majorEastAsia" w:eastAsiaTheme="majorEastAsia"/>
          <w:bCs/>
          <w:kern w:val="0"/>
          <w:sz w:val="18"/>
          <w:szCs w:val="18"/>
        </w:rPr>
      </w:pPr>
      <w:r>
        <w:rPr>
          <w:rFonts w:asciiTheme="majorEastAsia" w:hAnsiTheme="majorEastAsia" w:eastAsiaTheme="majorEastAsia"/>
          <w:bCs/>
          <w:kern w:val="0"/>
          <w:sz w:val="18"/>
          <w:szCs w:val="18"/>
        </w:rPr>
        <w:t>【</w:t>
      </w:r>
      <w:r>
        <w:rPr>
          <w:rFonts w:hint="eastAsia" w:ascii="宋体" w:hAnsi="宋体"/>
          <w:bCs/>
          <w:sz w:val="18"/>
          <w:szCs w:val="18"/>
        </w:rPr>
        <w:t>稳利安盈封闭式2023年31期B</w:t>
      </w:r>
      <w:r>
        <w:rPr>
          <w:rFonts w:hint="eastAsia" w:asciiTheme="majorEastAsia" w:hAnsiTheme="majorEastAsia" w:eastAsiaTheme="majorEastAsia"/>
          <w:bCs/>
          <w:kern w:val="0"/>
          <w:sz w:val="18"/>
          <w:szCs w:val="18"/>
        </w:rPr>
        <w:t>】（适用【</w:t>
      </w:r>
      <w:r>
        <w:rPr>
          <w:rFonts w:asciiTheme="majorEastAsia" w:hAnsiTheme="majorEastAsia" w:eastAsiaTheme="majorEastAsia"/>
          <w:bCs/>
          <w:kern w:val="0"/>
          <w:sz w:val="18"/>
          <w:szCs w:val="18"/>
        </w:rPr>
        <w:t>B</w:t>
      </w:r>
      <w:r>
        <w:rPr>
          <w:rFonts w:hint="eastAsia" w:asciiTheme="majorEastAsia" w:hAnsiTheme="majorEastAsia" w:eastAsiaTheme="majorEastAsia"/>
          <w:bCs/>
          <w:kern w:val="0"/>
          <w:sz w:val="18"/>
          <w:szCs w:val="18"/>
        </w:rPr>
        <w:t>】类份额）</w:t>
      </w:r>
    </w:p>
    <w:p>
      <w:pPr>
        <w:ind w:firstLine="448" w:firstLineChars="249"/>
        <w:rPr>
          <w:rFonts w:ascii="宋体" w:hAnsi="宋体" w:cs="仿宋_GB2312"/>
          <w:kern w:val="0"/>
          <w:sz w:val="18"/>
          <w:szCs w:val="18"/>
        </w:rPr>
      </w:pPr>
      <w:r>
        <w:rPr>
          <w:rFonts w:asciiTheme="majorEastAsia" w:hAnsiTheme="majorEastAsia" w:eastAsiaTheme="majorEastAsia"/>
          <w:bCs/>
          <w:kern w:val="0"/>
          <w:sz w:val="18"/>
          <w:szCs w:val="18"/>
        </w:rPr>
        <w:t>【</w:t>
      </w:r>
      <w:r>
        <w:rPr>
          <w:rFonts w:hint="eastAsia" w:ascii="宋体" w:hAnsi="宋体"/>
          <w:bCs/>
          <w:sz w:val="18"/>
          <w:szCs w:val="18"/>
        </w:rPr>
        <w:t>稳利安盈封闭式2023年31期C（新市民专属）</w:t>
      </w:r>
      <w:r>
        <w:rPr>
          <w:rFonts w:hint="eastAsia" w:asciiTheme="majorEastAsia" w:hAnsiTheme="majorEastAsia" w:eastAsiaTheme="majorEastAsia"/>
          <w:bCs/>
          <w:kern w:val="0"/>
          <w:sz w:val="18"/>
          <w:szCs w:val="18"/>
        </w:rPr>
        <w:t>】（适用【</w:t>
      </w:r>
      <w:r>
        <w:rPr>
          <w:rFonts w:asciiTheme="majorEastAsia" w:hAnsiTheme="majorEastAsia" w:eastAsiaTheme="majorEastAsia"/>
          <w:bCs/>
          <w:kern w:val="0"/>
          <w:sz w:val="18"/>
          <w:szCs w:val="18"/>
        </w:rPr>
        <w:t>C</w:t>
      </w:r>
      <w:r>
        <w:rPr>
          <w:rFonts w:hint="eastAsia" w:asciiTheme="majorEastAsia" w:hAnsiTheme="majorEastAsia" w:eastAsiaTheme="majorEastAsia"/>
          <w:bCs/>
          <w:kern w:val="0"/>
          <w:sz w:val="18"/>
          <w:szCs w:val="18"/>
        </w:rPr>
        <w:t>】类份额）</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宋体" w:hAnsi="宋体"/>
          <w:bCs/>
          <w:sz w:val="18"/>
          <w:szCs w:val="18"/>
        </w:rPr>
        <w:t>Z7002023000549</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【公募、封闭式、固定收益类、非保本浮动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■有固定期限：【112天】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w:t>
      </w:r>
      <w:r>
        <w:rPr>
          <w:rFonts w:ascii="宋体" w:hAnsi="宋体" w:cs="仿宋_GB2312"/>
          <w:kern w:val="0"/>
          <w:sz w:val="18"/>
          <w:szCs w:val="18"/>
        </w:rPr>
        <w:t>1】</w:t>
      </w:r>
      <w:r>
        <w:rPr>
          <w:rFonts w:hint="eastAsia" w:ascii="宋体" w:hAnsi="宋体" w:cs="仿宋_GB2312"/>
          <w:kern w:val="0"/>
          <w:sz w:val="18"/>
          <w:szCs w:val="18"/>
        </w:rPr>
        <w:t>（产品管理人定义的产品风险评级为【R</w:t>
      </w:r>
      <w:r>
        <w:rPr>
          <w:rFonts w:ascii="宋体" w:hAnsi="宋体" w:cs="仿宋_GB2312"/>
          <w:kern w:val="0"/>
          <w:sz w:val="18"/>
          <w:szCs w:val="18"/>
        </w:rPr>
        <w:t>1】</w:t>
      </w:r>
      <w:r>
        <w:rPr>
          <w:rFonts w:hint="eastAsia" w:ascii="宋体" w:hAnsi="宋体" w:cs="仿宋_GB2312"/>
          <w:kern w:val="0"/>
          <w:sz w:val="18"/>
          <w:szCs w:val="18"/>
        </w:rPr>
        <w:t>；代理销售机构定义的产品风险评级为【R</w:t>
      </w:r>
      <w:r>
        <w:rPr>
          <w:rFonts w:ascii="宋体" w:hAnsi="宋体" w:cs="仿宋_GB2312"/>
          <w:kern w:val="0"/>
          <w:sz w:val="18"/>
          <w:szCs w:val="18"/>
        </w:rPr>
        <w:t>1</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2"/>
        <w:ind w:firstLine="360"/>
        <w:rPr>
          <w:rFonts w:ascii="宋体" w:hAnsi="宋体"/>
          <w:bCs/>
          <w:sz w:val="18"/>
          <w:szCs w:val="18"/>
        </w:rPr>
      </w:pPr>
      <w:r>
        <w:rPr>
          <w:rFonts w:hint="eastAsia" w:ascii="宋体" w:hAnsi="宋体"/>
          <w:bCs/>
          <w:sz w:val="18"/>
          <w:szCs w:val="18"/>
        </w:rPr>
        <w:t>1、拟投资市场和资产的风险：</w:t>
      </w:r>
    </w:p>
    <w:p>
      <w:pPr>
        <w:pStyle w:val="12"/>
        <w:ind w:firstLine="360"/>
        <w:rPr>
          <w:rFonts w:ascii="宋体" w:hAnsi="宋体"/>
          <w:bCs/>
          <w:sz w:val="18"/>
          <w:szCs w:val="18"/>
        </w:rPr>
      </w:pPr>
      <w:r>
        <w:rPr>
          <w:rFonts w:hint="eastAsia" w:ascii="宋体" w:hAnsi="宋体"/>
          <w:bCs/>
          <w:sz w:val="18"/>
          <w:szCs w:val="18"/>
        </w:rPr>
        <w:t>（1）投资债权类资产的风险</w:t>
      </w:r>
    </w:p>
    <w:p>
      <w:pPr>
        <w:pStyle w:val="12"/>
        <w:ind w:firstLine="360"/>
        <w:rPr>
          <w:rFonts w:ascii="宋体" w:hAnsi="宋体"/>
          <w:bCs/>
          <w:sz w:val="18"/>
          <w:szCs w:val="18"/>
        </w:rPr>
      </w:pPr>
      <w:r>
        <w:rPr>
          <w:rFonts w:hint="eastAsia" w:ascii="宋体" w:hAnsi="宋体"/>
          <w:bCs/>
          <w:sz w:val="18"/>
          <w:szCs w:val="18"/>
        </w:rPr>
        <w:t>1）投资标准化债权类资产的风险</w:t>
      </w:r>
    </w:p>
    <w:p>
      <w:pPr>
        <w:pStyle w:val="12"/>
        <w:ind w:firstLine="360"/>
        <w:rPr>
          <w:rFonts w:ascii="宋体" w:hAnsi="宋体"/>
          <w:bCs/>
          <w:sz w:val="18"/>
          <w:szCs w:val="18"/>
        </w:rPr>
      </w:pPr>
      <w:r>
        <w:rPr>
          <w:rFonts w:hint="eastAsia" w:ascii="宋体" w:hAnsi="宋体"/>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2"/>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2"/>
        <w:ind w:firstLine="36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12"/>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pStyle w:val="12"/>
        <w:ind w:firstLine="426" w:firstLineChars="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pStyle w:val="12"/>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2"/>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2"/>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2"/>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2"/>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早偿风险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12"/>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2"/>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2"/>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2"/>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2"/>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2"/>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2"/>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2"/>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2"/>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2"/>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2"/>
        <w:ind w:firstLineChars="0"/>
        <w:rPr>
          <w:rFonts w:ascii="宋体" w:hAnsi="宋体"/>
          <w:b/>
          <w:bCs/>
          <w:sz w:val="18"/>
          <w:szCs w:val="18"/>
        </w:rPr>
      </w:pPr>
      <w:r>
        <w:rPr>
          <w:rFonts w:hint="eastAsia" w:ascii="宋体" w:hAnsi="宋体"/>
          <w:b/>
          <w:bCs/>
          <w:sz w:val="18"/>
          <w:szCs w:val="18"/>
        </w:rPr>
        <w:t>17.关联交易风险</w:t>
      </w:r>
    </w:p>
    <w:p>
      <w:pPr>
        <w:pStyle w:val="12"/>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w:t>
      </w:r>
      <w:r>
        <w:rPr>
          <w:rFonts w:hint="eastAsia" w:ascii="宋体" w:hAnsi="宋体"/>
          <w:sz w:val="18"/>
          <w:szCs w:val="18"/>
          <w:lang w:val="en-US" w:eastAsia="zh-CN"/>
        </w:rPr>
        <w:t>福建省农村信用社联合社</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pacing w:line="360" w:lineRule="auto"/>
        <w:jc w:val="left"/>
        <w:rPr>
          <w:rFonts w:hint="eastAsia" w:ascii="宋体" w:hAnsi="宋体"/>
          <w:b/>
          <w:sz w:val="18"/>
          <w:szCs w:val="18"/>
        </w:rPr>
        <w:sectPr>
          <w:headerReference r:id="rId11" w:type="default"/>
          <w:footerReference r:id="rId12" w:type="default"/>
          <w:pgSz w:w="11906" w:h="16838"/>
          <w:pgMar w:top="1440" w:right="1800" w:bottom="1440" w:left="1800" w:header="567" w:footer="964" w:gutter="0"/>
          <w:cols w:space="425" w:num="1"/>
          <w:docGrid w:type="lines" w:linePitch="312" w:charSpace="0"/>
        </w:sectPr>
      </w:pP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兴银理财</w:t>
      </w:r>
      <w:r>
        <w:rPr>
          <w:rFonts w:hint="eastAsia" w:ascii="黑体" w:hAnsi="黑体" w:eastAsia="黑体"/>
          <w:b/>
          <w:bCs/>
          <w:sz w:val="28"/>
          <w:szCs w:val="28"/>
        </w:rPr>
        <w:t>稳利安盈封闭式</w:t>
      </w:r>
      <w:r>
        <w:rPr>
          <w:rStyle w:val="10"/>
          <w:rFonts w:hint="eastAsia" w:ascii="黑体" w:hAnsi="黑体" w:eastAsia="黑体"/>
          <w:sz w:val="28"/>
          <w:szCs w:val="28"/>
        </w:rPr>
        <w:t>理财产品</w:t>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w:t>
      </w:r>
      <w:r>
        <w:rPr>
          <w:rFonts w:hint="eastAsia" w:ascii="宋体" w:hAnsi="宋体"/>
          <w:sz w:val="18"/>
          <w:szCs w:val="18"/>
          <w:lang w:val="en-US" w:eastAsia="zh-CN"/>
        </w:rPr>
        <w:t>福建省农村信用社联合社</w:t>
      </w:r>
      <w:r>
        <w:rPr>
          <w:rFonts w:hint="eastAsia" w:ascii="宋体" w:hAnsi="宋体"/>
          <w:sz w:val="18"/>
          <w:szCs w:val="18"/>
        </w:rPr>
        <w:t>】以(□ 直销：产品管理人销售/</w:t>
      </w:r>
      <w:r>
        <w:rPr>
          <w:rFonts w:hint="eastAsia" w:asciiTheme="majorEastAsia" w:hAnsiTheme="majorEastAsia" w:eastAsiaTheme="majorEastAsia"/>
          <w:bCs/>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0" w:firstLineChars="200"/>
        <w:rPr>
          <w:rFonts w:hint="eastAsia" w:ascii="宋体" w:hAnsi="宋体"/>
          <w:sz w:val="18"/>
          <w:szCs w:val="18"/>
        </w:rPr>
      </w:pPr>
      <w:r>
        <w:rPr>
          <w:rFonts w:hint="eastAsia" w:ascii="宋体" w:hAnsi="宋体"/>
          <w:sz w:val="18"/>
          <w:szCs w:val="18"/>
        </w:rPr>
        <w:t xml:space="preserve">2.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w:t>
      </w:r>
      <w:r>
        <w:rPr>
          <w:rFonts w:hint="eastAsia" w:ascii="宋体" w:hAnsi="宋体"/>
          <w:sz w:val="18"/>
          <w:szCs w:val="18"/>
          <w:lang w:val="en-US" w:eastAsia="zh-CN"/>
        </w:rPr>
        <w:t>机构</w:t>
      </w:r>
      <w:r>
        <w:rPr>
          <w:rFonts w:hint="eastAsia" w:ascii="宋体" w:hAnsi="宋体"/>
          <w:sz w:val="18"/>
          <w:szCs w:val="18"/>
        </w:rPr>
        <w:t>投资者由低至高分为【</w:t>
      </w:r>
      <w:r>
        <w:rPr>
          <w:rFonts w:hint="eastAsia" w:ascii="宋体" w:hAnsi="宋体"/>
          <w:sz w:val="18"/>
          <w:szCs w:val="18"/>
          <w:lang w:val="en-US" w:eastAsia="zh-CN"/>
        </w:rPr>
        <w:t>保守型、谨慎型、稳健型、进取型、激进型</w:t>
      </w:r>
      <w:r>
        <w:rPr>
          <w:rFonts w:hint="eastAsia" w:ascii="宋体" w:hAnsi="宋体"/>
          <w:sz w:val="18"/>
          <w:szCs w:val="18"/>
        </w:rPr>
        <w:t>】</w:t>
      </w:r>
      <w:r>
        <w:rPr>
          <w:rFonts w:ascii="宋体" w:hAnsi="宋体"/>
          <w:sz w:val="18"/>
          <w:szCs w:val="18"/>
        </w:rPr>
        <w:t>。其中，</w:t>
      </w:r>
      <w:r>
        <w:rPr>
          <w:rFonts w:hint="eastAsia" w:ascii="宋体" w:hAnsi="宋体"/>
          <w:sz w:val="18"/>
          <w:szCs w:val="18"/>
        </w:rPr>
        <w:t>【</w:t>
      </w:r>
      <w:r>
        <w:rPr>
          <w:rFonts w:hint="eastAsia" w:ascii="宋体" w:hAnsi="宋体"/>
          <w:sz w:val="18"/>
          <w:szCs w:val="18"/>
          <w:lang w:val="en-US" w:eastAsia="zh-CN"/>
        </w:rPr>
        <w:t>保守型</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hint="eastAsia" w:ascii="宋体" w:hAnsi="宋体"/>
          <w:sz w:val="18"/>
          <w:szCs w:val="18"/>
          <w:lang w:val="en-US" w:eastAsia="zh-CN"/>
        </w:rPr>
        <w:t>激进型</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投资者风险承受能力风险评级类型与适合购买的理财产品的对应关系为：</w:t>
      </w:r>
    </w:p>
    <w:tbl>
      <w:tblPr>
        <w:tblStyle w:val="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276"/>
        <w:gridCol w:w="1275"/>
        <w:gridCol w:w="24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风险调查问卷分值</w:t>
            </w:r>
          </w:p>
        </w:tc>
        <w:tc>
          <w:tcPr>
            <w:tcW w:w="1276" w:type="dxa"/>
            <w:vMerge w:val="restart"/>
            <w:tcBorders>
              <w:top w:val="single" w:color="auto" w:sz="4" w:space="0"/>
              <w:left w:val="single" w:color="auto" w:sz="4" w:space="0"/>
              <w:right w:val="single" w:color="auto" w:sz="4" w:space="0"/>
            </w:tcBorders>
            <w:vAlign w:val="center"/>
          </w:tcPr>
          <w:p>
            <w:pPr>
              <w:spacing w:line="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投资者类型</w:t>
            </w:r>
          </w:p>
        </w:tc>
        <w:tc>
          <w:tcPr>
            <w:tcW w:w="1275"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投资者风险承受等级</w:t>
            </w:r>
          </w:p>
        </w:tc>
        <w:tc>
          <w:tcPr>
            <w:tcW w:w="2410"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风险特征描述</w:t>
            </w:r>
          </w:p>
        </w:tc>
        <w:tc>
          <w:tcPr>
            <w:tcW w:w="1418"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适合理财评级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法人单位</w:t>
            </w:r>
          </w:p>
        </w:tc>
        <w:tc>
          <w:tcPr>
            <w:tcW w:w="1276" w:type="dxa"/>
            <w:vMerge w:val="continue"/>
            <w:tcBorders>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p>
        </w:tc>
        <w:tc>
          <w:tcPr>
            <w:tcW w:w="1275"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2410"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1418"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81－100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86-100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激进型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属于可以承受高风险级别的投资者。适合投资于商品及金融衍生品类产品。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61－80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71-85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进取型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属于可以承担较高风险级别的投资者。适合投资于权益类产品。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36－60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46-70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稳健型</w:t>
            </w:r>
          </w:p>
        </w:tc>
        <w:tc>
          <w:tcPr>
            <w:tcW w:w="1275" w:type="dxa"/>
            <w:tcBorders>
              <w:top w:val="single" w:color="auto" w:sz="4" w:space="0"/>
              <w:left w:val="single" w:color="auto" w:sz="4" w:space="0"/>
              <w:bottom w:val="single" w:color="auto" w:sz="4" w:space="0"/>
              <w:right w:val="single" w:color="auto" w:sz="4" w:space="0"/>
            </w:tcBorders>
            <w:vAlign w:val="center"/>
          </w:tcPr>
          <w:p>
            <w:pPr>
              <w:pStyle w:val="14"/>
              <w:spacing w:line="540" w:lineRule="exact"/>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属于可以承担中等风险级别的投资者。适合投资于混合类产品。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16－35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31-45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谨慎型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属于可以承担较低风险级别的投资者。适合投资于含股权性质或债项评级低于AA+的固定收益类产品。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-9－15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小于等于30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保守型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属于可以承担低风险级别的投资者。适合投资于股权或债项评级高于AA+（含）以上的固定收益类产品。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低风险R1</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w:t>
      </w:r>
      <w:r>
        <w:fldChar w:fldCharType="begin"/>
      </w:r>
      <w:r>
        <w:instrText xml:space="preserve"> HYPERLINK "mailto:95561@cib.com.cn】" </w:instrText>
      </w:r>
      <w:r>
        <w:fldChar w:fldCharType="separate"/>
      </w:r>
      <w:r>
        <w:rPr>
          <w:rStyle w:val="11"/>
          <w:rFonts w:hint="eastAsia" w:ascii="宋体" w:hAnsi="宋体"/>
          <w:sz w:val="18"/>
          <w:szCs w:val="18"/>
        </w:rPr>
        <w:t>9</w:t>
      </w:r>
      <w:r>
        <w:rPr>
          <w:rStyle w:val="11"/>
          <w:rFonts w:ascii="宋体" w:hAnsi="宋体"/>
          <w:sz w:val="18"/>
          <w:szCs w:val="18"/>
        </w:rPr>
        <w:t>5561</w:t>
      </w:r>
      <w:r>
        <w:rPr>
          <w:rStyle w:val="11"/>
          <w:rFonts w:hint="eastAsia" w:ascii="宋体" w:hAnsi="宋体"/>
          <w:sz w:val="18"/>
          <w:szCs w:val="18"/>
        </w:rPr>
        <w:t>@</w:t>
      </w:r>
      <w:r>
        <w:rPr>
          <w:rStyle w:val="11"/>
          <w:rFonts w:asciiTheme="minorEastAsia" w:hAnsiTheme="minorEastAsia"/>
          <w:sz w:val="18"/>
          <w:szCs w:val="18"/>
        </w:rPr>
        <w:t>cib.com.cn</w:t>
      </w:r>
      <w:r>
        <w:rPr>
          <w:rStyle w:val="11"/>
          <w:rFonts w:hint="eastAsia" w:ascii="宋体" w:hAnsi="宋体"/>
          <w:sz w:val="18"/>
          <w:szCs w:val="18"/>
        </w:rPr>
        <w:t>】</w:t>
      </w:r>
      <w:r>
        <w:rPr>
          <w:rStyle w:val="11"/>
          <w:rFonts w:hint="eastAsia" w:ascii="宋体" w:hAnsi="宋体"/>
          <w:sz w:val="18"/>
          <w:szCs w:val="18"/>
        </w:rPr>
        <w:fldChar w:fldCharType="end"/>
      </w:r>
      <w:r>
        <w:rPr>
          <w:rFonts w:hint="eastAsia" w:ascii="宋体" w:hAnsi="宋体"/>
          <w:sz w:val="18"/>
          <w:szCs w:val="18"/>
        </w:rPr>
        <w:t>。</w:t>
      </w:r>
    </w:p>
    <w:p>
      <w:pPr>
        <w:autoSpaceDE w:val="0"/>
        <w:autoSpaceDN w:val="0"/>
        <w:adjustRightInd w:val="0"/>
        <w:ind w:firstLine="360" w:firstLineChars="200"/>
        <w:jc w:val="left"/>
        <w:rPr>
          <w:rFonts w:ascii="仿宋_GB2312" w:eastAsia="仿宋_GB2312" w:cs="仿宋_GB2312"/>
          <w:color w:val="000000"/>
          <w:kern w:val="0"/>
          <w:sz w:val="24"/>
          <w:szCs w:val="24"/>
        </w:rPr>
      </w:pPr>
      <w:bookmarkStart w:id="222" w:name="_GoBack"/>
      <w:bookmarkEnd w:id="222"/>
      <w:r>
        <w:rPr>
          <w:rFonts w:hint="eastAsia" w:ascii="宋体" w:hAnsi="宋体"/>
          <w:sz w:val="18"/>
          <w:szCs w:val="18"/>
        </w:rPr>
        <w:t>3、销售机构：通过【福建省农村信用社联合社】（作为销售服务机构）购买本产品的，请联系【福建省农村信用社联合社】，【福建省农村信用社联合社】客户服务热线：【0591-96336】；【福建省农村信用社联合社】门户网站：【www.fjnx.com.cn】。</w:t>
      </w: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rPr>
          <w:rStyle w:val="10"/>
          <w:rFonts w:ascii="黑体" w:hAnsi="黑体" w:eastAsia="黑体"/>
          <w:sz w:val="28"/>
          <w:szCs w:val="28"/>
        </w:rPr>
      </w:pPr>
      <w:r>
        <w:rPr>
          <w:rStyle w:val="10"/>
          <w:rFonts w:hint="eastAsia" w:ascii="黑体" w:hAnsi="黑体" w:eastAsia="黑体"/>
          <w:sz w:val="28"/>
          <w:szCs w:val="28"/>
        </w:rPr>
        <w:t>兴银理财</w:t>
      </w:r>
      <w:r>
        <w:rPr>
          <w:rFonts w:hint="eastAsia" w:ascii="黑体" w:hAnsi="黑体" w:eastAsia="黑体"/>
          <w:b/>
          <w:bCs/>
          <w:sz w:val="28"/>
          <w:szCs w:val="28"/>
        </w:rPr>
        <w:t>稳利安盈封闭式</w:t>
      </w:r>
      <w:r>
        <w:rPr>
          <w:rStyle w:val="10"/>
          <w:rFonts w:hint="eastAsia" w:ascii="黑体" w:hAnsi="黑体" w:eastAsia="黑体"/>
          <w:sz w:val="28"/>
          <w:szCs w:val="28"/>
        </w:rPr>
        <w:t>理财产品</w:t>
      </w:r>
    </w:p>
    <w:p>
      <w:pPr>
        <w:adjustRightInd w:val="0"/>
        <w:spacing w:line="280" w:lineRule="atLeast"/>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 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w:t>
      </w:r>
      <w:r>
        <w:rPr>
          <w:rFonts w:ascii="宋体" w:hAnsi="宋体"/>
          <w:sz w:val="18"/>
          <w:szCs w:val="18"/>
        </w:rPr>
        <w:t>。其中，</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ascii="宋体" w:hAnsi="宋体"/>
          <w:sz w:val="18"/>
          <w:szCs w:val="18"/>
        </w:rPr>
        <w:t>为风险承受能力最高类别。</w:t>
      </w:r>
      <w:r>
        <w:rPr>
          <w:rFonts w:hint="eastAsia" w:ascii="宋体" w:hAnsi="宋体"/>
          <w:sz w:val="18"/>
          <w:szCs w:val="18"/>
        </w:rPr>
        <w:t>投资者根据其风险承受能力评级购买对应的理财产品。</w:t>
      </w:r>
      <w:r>
        <w:rPr>
          <w:rFonts w:ascii="宋体" w:hAnsi="宋体"/>
          <w:sz w:val="18"/>
          <w:szCs w:val="18"/>
        </w:rPr>
        <w:t>投资者风险承受能力评级类型与适合购买的理财产品的对应关系为：</w:t>
      </w:r>
    </w:p>
    <w:tbl>
      <w:tblPr>
        <w:tblStyle w:val="7"/>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spacing w:line="280" w:lineRule="atLeast"/>
        <w:ind w:firstLine="361" w:firstLineChars="200"/>
        <w:rPr>
          <w:rFonts w:asciiTheme="minorEastAsia" w:hAnsiTheme="minorEastAsia"/>
          <w:sz w:val="18"/>
          <w:szCs w:val="18"/>
        </w:rPr>
      </w:pP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兴银理财</w:t>
      </w:r>
      <w:r>
        <w:rPr>
          <w:rFonts w:hint="eastAsia" w:ascii="黑体" w:hAnsi="黑体" w:eastAsia="黑体"/>
          <w:b/>
          <w:bCs/>
          <w:sz w:val="28"/>
          <w:szCs w:val="28"/>
        </w:rPr>
        <w:t>稳利安盈封闭式</w:t>
      </w:r>
      <w:r>
        <w:rPr>
          <w:rStyle w:val="10"/>
          <w:rFonts w:hint="eastAsia" w:ascii="黑体" w:hAnsi="黑体" w:eastAsia="黑体"/>
          <w:sz w:val="28"/>
          <w:szCs w:val="28"/>
        </w:rPr>
        <w:t>理财产品</w:t>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spacing w:line="360" w:lineRule="auto"/>
        <w:jc w:val="left"/>
        <w:rPr>
          <w:rFonts w:hint="eastAsia" w:ascii="宋体" w:hAnsi="宋体"/>
          <w:b/>
          <w:sz w:val="18"/>
          <w:szCs w:val="18"/>
        </w:rPr>
      </w:pPr>
    </w:p>
    <w:sectPr>
      <w:headerReference r:id="rId13" w:type="default"/>
      <w:footerReference r:id="rId1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3"/>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9</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3"/>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9</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33</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492923"/>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rPr>
    </w:pPr>
    <w:r>
      <w:rPr>
        <w:rFonts w:hint="eastAsia"/>
        <w:b/>
      </w:rPr>
      <w:t>投资协议书</w:t>
    </w:r>
  </w:p>
  <w:p>
    <w:pPr>
      <w:pStyle w:val="4"/>
      <w:jc w:val="right"/>
      <w:rPr>
        <w:b/>
      </w:rPr>
    </w:pPr>
    <w:r>
      <w:rPr>
        <w:rFonts w:hint="eastAsia"/>
        <w:b/>
      </w:rPr>
      <w:t>注：本文件由兴银理财有限责任公司统一编制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rPr>
    </w:pPr>
    <w:r>
      <w:rPr>
        <w:rFonts w:hint="eastAsia"/>
        <w:b/>
      </w:rPr>
      <w:t>投资协议书</w:t>
    </w:r>
  </w:p>
  <w:p>
    <w:pPr>
      <w:pStyle w:val="4"/>
      <w:jc w:val="right"/>
      <w:rPr>
        <w:b/>
      </w:rPr>
    </w:pPr>
    <w:r>
      <w:rPr>
        <w:rFonts w:hint="eastAsia"/>
        <w:b/>
      </w:rPr>
      <w:t>注：本文件由兴银理财有限责任公司统一编制</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4"/>
      <w:jc w:val="right"/>
      <w:rPr>
        <w:rFonts w:ascii="Times New Roman" w:hAnsi="Times New Roman"/>
        <w:b/>
      </w:rPr>
    </w:pPr>
    <w:r>
      <w:rPr>
        <w:rFonts w:hint="eastAsia" w:ascii="Times New Roman" w:hAnsi="Times New Roman"/>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（代理）销售协议书</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4"/>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投资者权益须知</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4D3DA5"/>
    <w:rsid w:val="39FF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paragraph" w:styleId="5">
    <w:name w:val="toc 1"/>
    <w:basedOn w:val="1"/>
    <w:next w:val="1"/>
    <w:qFormat/>
    <w:uiPriority w:val="39"/>
    <w:pPr>
      <w:tabs>
        <w:tab w:val="right" w:leader="dot" w:pos="8296"/>
      </w:tabs>
      <w:spacing w:line="360" w:lineRule="auto"/>
    </w:p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Hyperlink"/>
    <w:basedOn w:val="9"/>
    <w:qFormat/>
    <w:uiPriority w:val="99"/>
    <w:rPr>
      <w:color w:val="0000FF"/>
      <w:u w:val="single"/>
    </w:rPr>
  </w:style>
  <w:style w:type="paragraph" w:styleId="12">
    <w:name w:val="List Paragraph"/>
    <w:basedOn w:val="1"/>
    <w:qFormat/>
    <w:uiPriority w:val="0"/>
    <w:pPr>
      <w:ind w:firstLine="420" w:firstLineChars="200"/>
    </w:pPr>
  </w:style>
  <w:style w:type="paragraph" w:customStyle="1" w:styleId="1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2023-07-28T09:28:00Z</dcterms:created>
  <dc:creator>admin</dc:creator>
  <cp:lastModifiedBy>高炳荣</cp:lastModifiedBy>
  <dcterms:modified xsi:type="dcterms:W3CDTF">2023-08-02T01:27:54Z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