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b/>
          <w:szCs w:val="21"/>
        </w:rPr>
      </w:pPr>
      <w:r>
        <w:rPr>
          <w:rFonts w:hint="eastAsia" w:ascii="黑体" w:hAnsi="黑体" w:eastAsia="黑体"/>
          <w:b/>
          <w:sz w:val="44"/>
          <w:szCs w:val="44"/>
        </w:rPr>
        <w:t>兴银理财天天万利宝稳利净值型理财产品销售文件</w:t>
      </w:r>
    </w:p>
    <w:tbl>
      <w:tblPr>
        <w:tblStyle w:val="25"/>
        <w:tblW w:w="892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0"/>
        <w:gridCol w:w="6008"/>
        <w:gridCol w:w="192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6008"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24"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兴银理财天天万利宝稳利净值型理财产品投资协议书</w:t>
            </w:r>
            <w:r>
              <w:rPr>
                <w:rFonts w:ascii="宋体" w:hAnsi="宋体"/>
                <w:kern w:val="0"/>
                <w:sz w:val="20"/>
                <w:szCs w:val="21"/>
              </w:rPr>
              <w:t xml:space="preserve"> </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兴银理财天天万利宝稳利净值型理财产品产品说明书</w:t>
            </w:r>
          </w:p>
        </w:tc>
        <w:tc>
          <w:tcPr>
            <w:tcW w:w="1924"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6008"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兴银理财天天万利宝稳利净值型理财产品（代理）销售协议书</w:t>
            </w:r>
          </w:p>
        </w:tc>
        <w:tc>
          <w:tcPr>
            <w:tcW w:w="1924"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兴银理财天天万利宝稳利净值型理财产品风险揭示书</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6008"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兴银理财天天万利宝稳利净值型理财产品投资者权益须知</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58"/>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兴银理财天天万利宝稳利净值型理财产品投资协议书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39991726"/>
      <w:bookmarkStart w:id="1" w:name="_Toc139992301"/>
      <w:bookmarkStart w:id="2" w:name="_Toc123112263"/>
      <w:bookmarkStart w:id="3" w:name="_Toc123701383"/>
      <w:bookmarkStart w:id="4" w:name="_Toc123112224"/>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2302"/>
      <w:bookmarkStart w:id="6" w:name="_Toc123701384"/>
      <w:bookmarkStart w:id="7" w:name="_Toc123112264"/>
      <w:bookmarkStart w:id="8" w:name="_Toc123112225"/>
      <w:bookmarkStart w:id="9" w:name="_Toc139991727"/>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r>
        <w:rPr>
          <w:rStyle w:val="27"/>
          <w:rFonts w:hint="eastAsia" w:ascii="宋体" w:hAnsi="宋体"/>
          <w:sz w:val="28"/>
          <w:szCs w:val="28"/>
        </w:rPr>
        <w:t>【2022】年【5】月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w:t>
            </w:r>
            <w:r>
              <w:rPr>
                <w:rFonts w:ascii="黑体" w:hAnsi="黑体" w:eastAsia="黑体"/>
                <w:bCs/>
                <w:sz w:val="18"/>
                <w:szCs w:val="18"/>
              </w:rPr>
              <w:t>须</w:t>
            </w:r>
            <w:r>
              <w:rPr>
                <w:rFonts w:hint="eastAsia" w:ascii="黑体" w:hAnsi="黑体" w:eastAsia="黑体"/>
                <w:bCs/>
                <w:sz w:val="18"/>
                <w:szCs w:val="18"/>
              </w:rPr>
              <w:t>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pStyle w:val="21"/>
              <w:snapToGrid w:val="0"/>
              <w:spacing w:before="0" w:beforeAutospacing="0" w:after="0" w:afterAutospacing="0" w:line="360" w:lineRule="auto"/>
              <w:jc w:val="both"/>
              <w:rPr>
                <w:rFonts w:ascii="黑体" w:hAnsi="黑体" w:eastAsia="黑体"/>
                <w:bCs/>
                <w:sz w:val="18"/>
                <w:szCs w:val="18"/>
              </w:rPr>
            </w:pP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27"/>
      <w:bookmarkStart w:id="11" w:name="_Toc123112266"/>
      <w:bookmarkStart w:id="12" w:name="_Toc123701386"/>
      <w:bookmarkStart w:id="13" w:name="_Toc139991729"/>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兴业银行天天万利宝稳利2号净值型理财产品J款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【稳利恒盈</w:t>
            </w:r>
            <w:r>
              <w:rPr>
                <w:rFonts w:ascii="宋体" w:hAnsi="宋体"/>
                <w:bCs/>
                <w:sz w:val="18"/>
                <w:szCs w:val="18"/>
              </w:rPr>
              <w:t>J</w:t>
            </w:r>
            <w:r>
              <w:rPr>
                <w:rFonts w:hint="eastAsia" w:ascii="宋体" w:hAnsi="宋体"/>
                <w:bCs/>
                <w:sz w:val="18"/>
                <w:szCs w:val="18"/>
              </w:rPr>
              <w:t xml:space="preserve"> 6个月】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Z7002020000027</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【9K218027】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rPr>
            </w:pPr>
            <w:r>
              <w:rPr>
                <w:rFonts w:hint="eastAsia" w:ascii="宋体" w:hAnsi="宋体"/>
                <w:bCs/>
                <w:color w:val="000000" w:themeColor="text1"/>
                <w:sz w:val="18"/>
                <w:szCs w:val="18"/>
              </w:rPr>
              <w:t>【</w:t>
            </w:r>
            <w:r>
              <w:rPr>
                <w:rFonts w:ascii="宋体" w:hAnsi="宋体"/>
                <w:bCs/>
                <w:color w:val="000000" w:themeColor="text1"/>
                <w:sz w:val="18"/>
                <w:szCs w:val="18"/>
              </w:rPr>
              <w:t>9K218027</w:t>
            </w:r>
            <w:r>
              <w:rPr>
                <w:rFonts w:hint="eastAsia" w:ascii="宋体" w:hAnsi="宋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rPr>
              <w:rFonts w:asciiTheme="minorHAnsi" w:hAnsiTheme="minorHAnsi" w:eastAsiaTheme="minorEastAsia" w:cstheme="minorBidi"/>
              <w:szCs w:val="22"/>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"_Toc95897036" </w:instrText>
          </w:r>
          <w:r>
            <w:fldChar w:fldCharType="separate"/>
          </w:r>
          <w:r>
            <w:rPr>
              <w:rStyle w:val="29"/>
              <w:rFonts w:hint="eastAsia"/>
            </w:rPr>
            <w:t>第一条</w:t>
          </w:r>
          <w:r>
            <w:rPr>
              <w:rStyle w:val="29"/>
            </w:rPr>
            <w:t xml:space="preserve">  </w:t>
          </w:r>
          <w:r>
            <w:rPr>
              <w:rStyle w:val="29"/>
              <w:rFonts w:hint="eastAsia"/>
            </w:rPr>
            <w:t>前言</w:t>
          </w:r>
          <w:r>
            <w:tab/>
          </w:r>
          <w:r>
            <w:fldChar w:fldCharType="begin"/>
          </w:r>
          <w:r>
            <w:instrText xml:space="preserve"> PAGEREF _Toc95897036 \h </w:instrText>
          </w:r>
          <w:r>
            <w:fldChar w:fldCharType="separate"/>
          </w:r>
          <w:r>
            <w:t>1</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"_Toc95897037" </w:instrText>
          </w:r>
          <w:r>
            <w:fldChar w:fldCharType="separate"/>
          </w:r>
          <w:r>
            <w:rPr>
              <w:rStyle w:val="29"/>
              <w:rFonts w:hint="eastAsia"/>
            </w:rPr>
            <w:t>第二条</w:t>
          </w:r>
          <w:r>
            <w:rPr>
              <w:rStyle w:val="29"/>
            </w:rPr>
            <w:t xml:space="preserve">  </w:t>
          </w:r>
          <w:r>
            <w:rPr>
              <w:rStyle w:val="29"/>
              <w:rFonts w:hint="eastAsia"/>
            </w:rPr>
            <w:t>双方权利义务</w:t>
          </w:r>
          <w:r>
            <w:tab/>
          </w:r>
          <w:r>
            <w:fldChar w:fldCharType="begin"/>
          </w:r>
          <w:r>
            <w:instrText xml:space="preserve"> PAGEREF _Toc95897037 \h </w:instrText>
          </w:r>
          <w:r>
            <w:fldChar w:fldCharType="separate"/>
          </w:r>
          <w:r>
            <w:t>2</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"_Toc95897038" </w:instrText>
          </w:r>
          <w:r>
            <w:fldChar w:fldCharType="separate"/>
          </w:r>
          <w:r>
            <w:rPr>
              <w:rStyle w:val="29"/>
              <w:rFonts w:hint="eastAsia"/>
            </w:rPr>
            <w:t>第三条</w:t>
          </w:r>
          <w:r>
            <w:rPr>
              <w:rStyle w:val="29"/>
            </w:rPr>
            <w:t xml:space="preserve">  </w:t>
          </w:r>
          <w:r>
            <w:rPr>
              <w:rStyle w:val="29"/>
              <w:rFonts w:hint="eastAsia"/>
            </w:rPr>
            <w:t>不可抗力</w:t>
          </w:r>
          <w:r>
            <w:tab/>
          </w:r>
          <w:r>
            <w:fldChar w:fldCharType="begin"/>
          </w:r>
          <w:r>
            <w:instrText xml:space="preserve"> PAGEREF _Toc95897038 \h </w:instrText>
          </w:r>
          <w:r>
            <w:fldChar w:fldCharType="separate"/>
          </w:r>
          <w:r>
            <w:t>5</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"_Toc95897039" </w:instrText>
          </w:r>
          <w:r>
            <w:fldChar w:fldCharType="separate"/>
          </w:r>
          <w:r>
            <w:rPr>
              <w:rStyle w:val="29"/>
              <w:rFonts w:hint="eastAsia"/>
            </w:rPr>
            <w:t>第四条</w:t>
          </w:r>
          <w:r>
            <w:rPr>
              <w:rStyle w:val="29"/>
            </w:rPr>
            <w:t xml:space="preserve">  </w:t>
          </w:r>
          <w:r>
            <w:rPr>
              <w:rStyle w:val="29"/>
              <w:rFonts w:hint="eastAsia"/>
            </w:rPr>
            <w:t>违约责任</w:t>
          </w:r>
          <w:r>
            <w:tab/>
          </w:r>
          <w:r>
            <w:fldChar w:fldCharType="begin"/>
          </w:r>
          <w:r>
            <w:instrText xml:space="preserve"> PAGEREF _Toc95897039 \h </w:instrText>
          </w:r>
          <w:r>
            <w:fldChar w:fldCharType="separate"/>
          </w:r>
          <w:r>
            <w:t>6</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"_Toc95897040" </w:instrText>
          </w:r>
          <w:r>
            <w:fldChar w:fldCharType="separate"/>
          </w:r>
          <w:r>
            <w:rPr>
              <w:rStyle w:val="29"/>
              <w:rFonts w:hint="eastAsia"/>
            </w:rPr>
            <w:t>第五条</w:t>
          </w:r>
          <w:r>
            <w:rPr>
              <w:rStyle w:val="29"/>
            </w:rPr>
            <w:t xml:space="preserve">  </w:t>
          </w:r>
          <w:r>
            <w:rPr>
              <w:rStyle w:val="29"/>
              <w:rFonts w:hint="eastAsia"/>
            </w:rPr>
            <w:t>法律适用和争议解决</w:t>
          </w:r>
          <w:r>
            <w:tab/>
          </w:r>
          <w:r>
            <w:fldChar w:fldCharType="begin"/>
          </w:r>
          <w:r>
            <w:instrText xml:space="preserve"> PAGEREF _Toc95897040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"_Toc95897041" </w:instrText>
          </w:r>
          <w:r>
            <w:fldChar w:fldCharType="separate"/>
          </w:r>
          <w:r>
            <w:rPr>
              <w:rStyle w:val="29"/>
              <w:rFonts w:hint="eastAsia"/>
            </w:rPr>
            <w:t>第六条</w:t>
          </w:r>
          <w:r>
            <w:rPr>
              <w:rStyle w:val="29"/>
            </w:rPr>
            <w:t xml:space="preserve">  </w:t>
          </w:r>
          <w:r>
            <w:rPr>
              <w:rStyle w:val="29"/>
              <w:rFonts w:hint="eastAsia"/>
            </w:rPr>
            <w:t>协议的签署和效力</w:t>
          </w:r>
          <w:r>
            <w:tab/>
          </w:r>
          <w:r>
            <w:fldChar w:fldCharType="begin"/>
          </w:r>
          <w:r>
            <w:instrText xml:space="preserve"> PAGEREF _Toc95897041 \h </w:instrText>
          </w:r>
          <w:r>
            <w:fldChar w:fldCharType="separate"/>
          </w:r>
          <w:r>
            <w:t>8</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"_Toc95897042" </w:instrText>
          </w:r>
          <w:r>
            <w:fldChar w:fldCharType="separate"/>
          </w:r>
          <w:r>
            <w:rPr>
              <w:rStyle w:val="29"/>
              <w:rFonts w:hint="eastAsia"/>
            </w:rPr>
            <w:t>第七条</w:t>
          </w:r>
          <w:r>
            <w:rPr>
              <w:rStyle w:val="29"/>
            </w:rPr>
            <w:t xml:space="preserve">  </w:t>
          </w:r>
          <w:r>
            <w:rPr>
              <w:rStyle w:val="29"/>
              <w:rFonts w:hint="eastAsia"/>
            </w:rPr>
            <w:t>消费者权益保护</w:t>
          </w:r>
          <w:r>
            <w:tab/>
          </w:r>
          <w:r>
            <w:fldChar w:fldCharType="begin"/>
          </w:r>
          <w:r>
            <w:instrText xml:space="preserve"> PAGEREF _Toc95897042 \h </w:instrText>
          </w:r>
          <w:r>
            <w:fldChar w:fldCharType="separate"/>
          </w:r>
          <w:r>
            <w:t>9</w:t>
          </w:r>
          <w:r>
            <w:fldChar w:fldCharType="end"/>
          </w:r>
          <w:r>
            <w:fldChar w:fldCharType="end"/>
          </w:r>
        </w:p>
        <w:p>
          <w:pPr>
            <w:spacing w:line="360" w:lineRule="auto"/>
          </w:pPr>
          <w:r>
            <w:rPr>
              <w:b/>
              <w:bCs/>
              <w:lang w:val="zh-CN"/>
            </w:rPr>
            <w:fldChar w:fldCharType="end"/>
          </w: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23386"/>
      <w:bookmarkStart w:id="15" w:name="_Toc123701389"/>
      <w:bookmarkStart w:id="16" w:name="_Toc123112229"/>
      <w:bookmarkStart w:id="17" w:name="_Toc32639"/>
      <w:bookmarkStart w:id="18" w:name="_Toc8727"/>
      <w:bookmarkStart w:id="19" w:name="_Toc15517"/>
      <w:bookmarkStart w:id="20" w:name="_Toc4867"/>
      <w:bookmarkStart w:id="21" w:name="_Toc6306"/>
      <w:bookmarkStart w:id="22" w:name="_Toc30935"/>
      <w:bookmarkStart w:id="23" w:name="_Toc141703880"/>
      <w:bookmarkStart w:id="24" w:name="_Toc4966"/>
      <w:bookmarkStart w:id="25" w:name="_Toc29629"/>
      <w:bookmarkStart w:id="26" w:name="_Toc26897"/>
      <w:bookmarkStart w:id="27" w:name="_Toc123112268"/>
      <w:bookmarkStart w:id="28" w:name="_Toc139991730"/>
      <w:bookmarkStart w:id="29" w:name="_Toc88482730"/>
      <w:bookmarkStart w:id="30" w:name="_Toc95897036"/>
      <w:bookmarkStart w:id="31" w:name="_Toc74065738"/>
      <w:bookmarkStart w:id="32"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3" w:name="_Toc3224"/>
      <w:bookmarkStart w:id="34" w:name="_Toc19592"/>
      <w:bookmarkStart w:id="35" w:name="_Toc21301"/>
      <w:bookmarkStart w:id="36" w:name="_Toc15067"/>
      <w:bookmarkStart w:id="37" w:name="_Toc13020"/>
      <w:bookmarkStart w:id="38" w:name="_Toc22864"/>
      <w:bookmarkStart w:id="39" w:name="_Toc24860"/>
      <w:bookmarkStart w:id="40" w:name="_Toc2465"/>
      <w:bookmarkStart w:id="41" w:name="_Toc819"/>
      <w:bookmarkStart w:id="42" w:name="_Toc6617"/>
      <w:bookmarkStart w:id="43" w:name="_Toc258829399"/>
      <w:r>
        <w:rPr>
          <w:rFonts w:hint="eastAsia" w:ascii="Times New Roman"/>
          <w:color w:val="auto"/>
          <w:sz w:val="30"/>
        </w:rPr>
        <w:t>前言</w:t>
      </w:r>
      <w:bookmarkEnd w:id="29"/>
      <w:bookmarkEnd w:id="30"/>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w:t>
      </w:r>
      <w:bookmarkStart w:id="44" w:name="_Toc59965743"/>
      <w:r>
        <w:rPr>
          <w:rFonts w:hint="eastAsia" w:asciiTheme="majorEastAsia" w:hAnsiTheme="majorEastAsia" w:eastAsiaTheme="majorEastAsia"/>
          <w:bCs/>
          <w:color w:val="auto"/>
          <w:sz w:val="18"/>
          <w:szCs w:val="18"/>
        </w:rPr>
        <w:t>《商业银行理财子公司管理办法》</w:t>
      </w:r>
      <w:bookmarkEnd w:id="44"/>
      <w:r>
        <w:rPr>
          <w:rFonts w:hint="eastAsia" w:asciiTheme="majorEastAsia" w:hAnsiTheme="majorEastAsia" w:eastAsiaTheme="majorEastAsia"/>
          <w:bCs/>
          <w:color w:val="auto"/>
          <w:sz w:val="18"/>
          <w:szCs w:val="18"/>
        </w:rPr>
        <w:t>（银保监会令2018年第7号）、《理财公司理财产品销售管理暂行办法》（银保监会令2021年第4号）等监管规定及其他有关规定。</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43"/>
        <w:spacing w:line="360" w:lineRule="auto"/>
        <w:rPr>
          <w:rFonts w:asciiTheme="majorEastAsia" w:hAnsiTheme="majorEastAsia" w:eastAsiaTheme="majorEastAsia"/>
          <w:bCs/>
          <w:color w:val="auto"/>
          <w:sz w:val="18"/>
          <w:szCs w:val="18"/>
        </w:rPr>
      </w:pPr>
    </w:p>
    <w:bookmarkEnd w:id="31"/>
    <w:p>
      <w:pPr>
        <w:widowControl/>
        <w:spacing w:line="360" w:lineRule="auto"/>
        <w:jc w:val="left"/>
      </w:pPr>
      <w:r>
        <w:br w:type="page"/>
      </w:r>
    </w:p>
    <w:p>
      <w:pPr>
        <w:pStyle w:val="2"/>
        <w:spacing w:before="0" w:after="0"/>
        <w:jc w:val="center"/>
        <w:rPr>
          <w:rFonts w:ascii="Times New Roman"/>
          <w:color w:val="auto"/>
          <w:sz w:val="30"/>
        </w:rPr>
      </w:pPr>
      <w:bookmarkStart w:id="45" w:name="_Toc88482731"/>
      <w:bookmarkStart w:id="46" w:name="_Toc95897037"/>
      <w:bookmarkStart w:id="47"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5"/>
      <w:bookmarkEnd w:id="46"/>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3.</w:t>
      </w:r>
      <w:r>
        <w:rPr>
          <w:rFonts w:ascii="宋体" w:hAnsi="宋体"/>
          <w:sz w:val="18"/>
          <w:szCs w:val="18"/>
        </w:rPr>
        <w:t>产品管理人应按照约定披露产品相关信息</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pPr>
        <w:widowControl/>
        <w:spacing w:line="360" w:lineRule="auto"/>
        <w:jc w:val="left"/>
        <w:rPr>
          <w:b/>
          <w:kern w:val="0"/>
          <w:sz w:val="30"/>
        </w:rPr>
      </w:pPr>
      <w:r>
        <w:rPr>
          <w:sz w:val="30"/>
        </w:rPr>
        <w:br w:type="page"/>
      </w:r>
    </w:p>
    <w:bookmarkEnd w:id="32"/>
    <w:bookmarkEnd w:id="33"/>
    <w:bookmarkEnd w:id="34"/>
    <w:bookmarkEnd w:id="35"/>
    <w:bookmarkEnd w:id="36"/>
    <w:bookmarkEnd w:id="37"/>
    <w:bookmarkEnd w:id="38"/>
    <w:bookmarkEnd w:id="39"/>
    <w:bookmarkEnd w:id="40"/>
    <w:bookmarkEnd w:id="41"/>
    <w:bookmarkEnd w:id="42"/>
    <w:bookmarkEnd w:id="43"/>
    <w:bookmarkEnd w:id="47"/>
    <w:p>
      <w:pPr>
        <w:pStyle w:val="2"/>
        <w:spacing w:before="0" w:after="0"/>
        <w:jc w:val="center"/>
        <w:rPr>
          <w:rFonts w:ascii="Times New Roman"/>
          <w:sz w:val="30"/>
        </w:rPr>
      </w:pPr>
      <w:bookmarkStart w:id="48" w:name="_Toc95897038"/>
      <w:bookmarkStart w:id="49" w:name="_Toc88482732"/>
      <w:bookmarkStart w:id="50" w:name="_Toc13288"/>
      <w:bookmarkStart w:id="51" w:name="_Toc545"/>
      <w:bookmarkStart w:id="52" w:name="_Toc18631"/>
      <w:bookmarkStart w:id="53" w:name="_Toc20318"/>
      <w:bookmarkStart w:id="54" w:name="_Toc6683"/>
      <w:bookmarkStart w:id="55" w:name="_Toc74065740"/>
      <w:bookmarkStart w:id="56" w:name="_Toc24571"/>
      <w:bookmarkStart w:id="57" w:name="_Toc22708"/>
      <w:bookmarkStart w:id="58" w:name="_Toc733"/>
      <w:bookmarkStart w:id="59" w:name="_Toc6149"/>
      <w:bookmarkStart w:id="60" w:name="_Toc20627"/>
      <w:bookmarkStart w:id="61" w:name="_Toc258829400"/>
      <w:bookmarkStart w:id="62" w:name="_Toc233456272"/>
      <w:r>
        <w:rPr>
          <w:rFonts w:hint="eastAsia" w:ascii="Times New Roman"/>
          <w:color w:val="auto"/>
          <w:sz w:val="30"/>
        </w:rPr>
        <w:t>第三条</w:t>
      </w:r>
      <w:r>
        <w:rPr>
          <w:rFonts w:ascii="Times New Roman"/>
          <w:color w:val="auto"/>
          <w:sz w:val="30"/>
        </w:rPr>
        <w:t xml:space="preserve">  不可抗力</w:t>
      </w:r>
      <w:bookmarkEnd w:id="48"/>
      <w:bookmarkEnd w:id="49"/>
    </w:p>
    <w:bookmarkEnd w:id="50"/>
    <w:bookmarkEnd w:id="51"/>
    <w:bookmarkEnd w:id="52"/>
    <w:bookmarkEnd w:id="53"/>
    <w:bookmarkEnd w:id="54"/>
    <w:bookmarkEnd w:id="55"/>
    <w:bookmarkEnd w:id="56"/>
    <w:bookmarkEnd w:id="57"/>
    <w:bookmarkEnd w:id="58"/>
    <w:bookmarkEnd w:id="59"/>
    <w:bookmarkEnd w:id="60"/>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3" w:name="_Toc88482733"/>
      <w:bookmarkStart w:id="64" w:name="_Toc95897039"/>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3"/>
      <w:bookmarkEnd w:id="64"/>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5" w:name="_Toc95897040"/>
      <w:bookmarkStart w:id="66" w:name="_Toc88482734"/>
      <w:r>
        <w:rPr>
          <w:rFonts w:hint="eastAsia" w:ascii="Times New Roman"/>
          <w:color w:val="auto"/>
          <w:sz w:val="30"/>
        </w:rPr>
        <w:t>第五条</w:t>
      </w:r>
      <w:r>
        <w:rPr>
          <w:rFonts w:ascii="Times New Roman"/>
          <w:color w:val="auto"/>
          <w:sz w:val="30"/>
        </w:rPr>
        <w:t xml:space="preserve">  法律适用和争议解决</w:t>
      </w:r>
      <w:bookmarkEnd w:id="65"/>
      <w:bookmarkEnd w:id="66"/>
    </w:p>
    <w:p>
      <w:pPr>
        <w:adjustRightInd w:val="0"/>
        <w:spacing w:line="360" w:lineRule="auto"/>
        <w:ind w:firstLine="360" w:firstLineChars="20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pPr>
        <w:adjustRightInd w:val="0"/>
        <w:spacing w:line="360" w:lineRule="auto"/>
        <w:ind w:firstLine="360" w:firstLineChars="20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hint="eastAsia" w:ascii="黑体" w:hAnsi="黑体" w:eastAsia="黑体"/>
          <w:color w:val="000000" w:themeColor="text1"/>
          <w:sz w:val="18"/>
          <w:szCs w:val="18"/>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rPr>
      </w:pPr>
      <w:r>
        <w:rPr>
          <w:rFonts w:ascii="黑体" w:hAnsi="黑体" w:eastAsia="黑体"/>
          <w:color w:val="000000" w:themeColor="text1"/>
          <w:sz w:val="18"/>
          <w:szCs w:val="18"/>
        </w:rPr>
        <w:br w:type="page"/>
      </w:r>
    </w:p>
    <w:p>
      <w:pPr>
        <w:pStyle w:val="2"/>
        <w:spacing w:before="0" w:after="0"/>
        <w:jc w:val="center"/>
        <w:rPr>
          <w:rFonts w:ascii="Times New Roman"/>
          <w:b w:val="0"/>
          <w:sz w:val="30"/>
        </w:rPr>
      </w:pPr>
      <w:bookmarkStart w:id="67" w:name="_Toc95897041"/>
      <w:bookmarkStart w:id="68" w:name="_Toc88482735"/>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7"/>
      <w:bookmarkEnd w:id="68"/>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9" w:name="_Toc88482736"/>
      <w:bookmarkStart w:id="70" w:name="_Toc77953869"/>
      <w:bookmarkStart w:id="71" w:name="_Toc9589704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9"/>
      <w:bookmarkEnd w:id="70"/>
      <w:bookmarkEnd w:id="71"/>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72"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7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61"/>
    <w:bookmarkEnd w:id="62"/>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本产品不设置差异化子份额类别。</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rFonts w:hint="eastAsia" w:ascii="宋体" w:hAnsi="宋体"/>
          <w:b/>
          <w:sz w:val="18"/>
          <w:szCs w:val="18"/>
        </w:rPr>
        <w:sectPr>
          <w:headerReference r:id="rId5" w:type="default"/>
          <w:footerReference r:id="rId6" w:type="default"/>
          <w:pgSz w:w="11906" w:h="16838"/>
          <w:pgMar w:top="1440" w:right="1800" w:bottom="1440" w:left="1800" w:header="567" w:footer="992" w:gutter="0"/>
          <w:pgNumType w:start="1"/>
          <w:cols w:space="720" w:num="1"/>
          <w:docGrid w:type="lines" w:linePitch="312" w:charSpace="0"/>
        </w:sect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Fonts w:hint="eastAsia" w:ascii="黑体" w:hAnsi="黑体" w:eastAsia="黑体"/>
          <w:b/>
          <w:sz w:val="44"/>
          <w:szCs w:val="44"/>
        </w:rPr>
        <w:t>兴银理财天天万利宝稳利净值型理财产品</w:t>
      </w: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Style w:val="27"/>
          <w:rFonts w:hint="eastAsia" w:ascii="宋体" w:hAnsi="宋体" w:cs="Times New Roman"/>
          <w:sz w:val="32"/>
          <w:szCs w:val="32"/>
        </w:rPr>
        <w:t>【2022】年【5】月</w:t>
      </w:r>
    </w:p>
    <w:p>
      <w:pPr>
        <w:adjustRightInd w:val="0"/>
        <w:spacing w:line="360" w:lineRule="auto"/>
        <w:jc w:val="center"/>
        <w:rPr>
          <w:rStyle w:val="27"/>
          <w:rFonts w:ascii="宋体" w:hAnsi="宋体"/>
          <w:sz w:val="32"/>
          <w:szCs w:val="32"/>
        </w:rPr>
      </w:pPr>
    </w:p>
    <w:p>
      <w:pPr>
        <w:pStyle w:val="43"/>
        <w:spacing w:line="360" w:lineRule="auto"/>
        <w:rPr>
          <w:rFonts w:hAnsi="宋体"/>
          <w:sz w:val="28"/>
          <w:szCs w:val="28"/>
        </w:rPr>
        <w:sectPr>
          <w:footerReference r:id="rId9" w:type="first"/>
          <w:headerReference r:id="rId7" w:type="default"/>
          <w:footerReference r:id="rId8" w:type="default"/>
          <w:pgSz w:w="11906" w:h="16838"/>
          <w:pgMar w:top="1276" w:right="1800" w:bottom="1418" w:left="1800" w:header="567" w:footer="850" w:gutter="0"/>
          <w:cols w:space="425" w:num="1"/>
          <w:titlePg/>
          <w:docGrid w:type="lines" w:linePitch="312" w:charSpace="0"/>
        </w:sectPr>
      </w:pP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70"/>
            <w:spacing w:line="360" w:lineRule="auto"/>
            <w:jc w:val="center"/>
          </w:pPr>
          <w:bookmarkStart w:id="73" w:name="_Toc78276587"/>
          <w:r>
            <w:rPr>
              <w:lang w:val="zh-CN"/>
            </w:rPr>
            <w:t>目录</w:t>
          </w:r>
        </w:p>
        <w:p>
          <w:pPr>
            <w:pStyle w:val="16"/>
            <w:tabs>
              <w:tab w:val="right" w:leader="dot" w:pos="8306"/>
              <w:tab w:val="clear" w:pos="8296"/>
            </w:tabs>
          </w:pPr>
          <w:r>
            <w:fldChar w:fldCharType="begin"/>
          </w:r>
          <w:r>
            <w:instrText xml:space="preserve"> TOC \o "1-3" \h \z \u </w:instrText>
          </w:r>
          <w:r>
            <w:fldChar w:fldCharType="separate"/>
          </w:r>
          <w:r>
            <w:fldChar w:fldCharType="begin"/>
          </w:r>
          <w:r>
            <w:instrText xml:space="preserve"> HYPERLINK \l "_Toc9482"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_Toc9482 \h </w:instrText>
          </w:r>
          <w:r>
            <w:fldChar w:fldCharType="separate"/>
          </w:r>
          <w:r>
            <w:t>1</w:t>
          </w:r>
          <w:r>
            <w:fldChar w:fldCharType="end"/>
          </w:r>
          <w:r>
            <w:fldChar w:fldCharType="end"/>
          </w:r>
        </w:p>
        <w:p>
          <w:pPr>
            <w:pStyle w:val="16"/>
            <w:tabs>
              <w:tab w:val="right" w:leader="dot" w:pos="8306"/>
              <w:tab w:val="clear" w:pos="8296"/>
            </w:tabs>
          </w:pPr>
          <w:r>
            <w:fldChar w:fldCharType="begin"/>
          </w:r>
          <w:r>
            <w:instrText xml:space="preserve"> HYPERLINK \l "_Toc23998" </w:instrText>
          </w:r>
          <w:r>
            <w:fldChar w:fldCharType="separate"/>
          </w:r>
          <w:r>
            <w:rPr>
              <w:rFonts w:hint="eastAsia" w:hAnsi="宋体"/>
              <w:szCs w:val="28"/>
            </w:rPr>
            <w:t>第二条  理财产品基本情况</w:t>
          </w:r>
          <w:r>
            <w:tab/>
          </w:r>
          <w:r>
            <w:fldChar w:fldCharType="begin"/>
          </w:r>
          <w:r>
            <w:instrText xml:space="preserve"> PAGEREF _Toc23998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"_Toc15862"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_Toc15862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"_Toc28040"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_Toc28040 \h </w:instrText>
          </w:r>
          <w:r>
            <w:fldChar w:fldCharType="separate"/>
          </w:r>
          <w:r>
            <w:t>15</w:t>
          </w:r>
          <w:r>
            <w:fldChar w:fldCharType="end"/>
          </w:r>
          <w:r>
            <w:fldChar w:fldCharType="end"/>
          </w:r>
        </w:p>
        <w:p>
          <w:pPr>
            <w:pStyle w:val="16"/>
            <w:tabs>
              <w:tab w:val="right" w:leader="dot" w:pos="8306"/>
              <w:tab w:val="clear" w:pos="8296"/>
            </w:tabs>
          </w:pPr>
          <w:r>
            <w:fldChar w:fldCharType="begin"/>
          </w:r>
          <w:r>
            <w:instrText xml:space="preserve"> HYPERLINK \l "_Toc24722"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_Toc24722 \h </w:instrText>
          </w:r>
          <w:r>
            <w:fldChar w:fldCharType="separate"/>
          </w:r>
          <w:r>
            <w:t>19</w:t>
          </w:r>
          <w:r>
            <w:fldChar w:fldCharType="end"/>
          </w:r>
          <w:r>
            <w:fldChar w:fldCharType="end"/>
          </w:r>
        </w:p>
        <w:p>
          <w:pPr>
            <w:pStyle w:val="16"/>
            <w:tabs>
              <w:tab w:val="right" w:leader="dot" w:pos="8306"/>
              <w:tab w:val="clear" w:pos="8296"/>
            </w:tabs>
          </w:pPr>
          <w:r>
            <w:fldChar w:fldCharType="begin"/>
          </w:r>
          <w:r>
            <w:instrText xml:space="preserve"> HYPERLINK \l "_Toc27357"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_Toc27357 \h </w:instrText>
          </w:r>
          <w:r>
            <w:fldChar w:fldCharType="separate"/>
          </w:r>
          <w:r>
            <w:t>23</w:t>
          </w:r>
          <w:r>
            <w:fldChar w:fldCharType="end"/>
          </w:r>
          <w:r>
            <w:fldChar w:fldCharType="end"/>
          </w:r>
        </w:p>
        <w:p>
          <w:pPr>
            <w:pStyle w:val="16"/>
            <w:tabs>
              <w:tab w:val="right" w:leader="dot" w:pos="8306"/>
              <w:tab w:val="clear" w:pos="8296"/>
            </w:tabs>
          </w:pPr>
          <w:r>
            <w:fldChar w:fldCharType="begin"/>
          </w:r>
          <w:r>
            <w:instrText xml:space="preserve"> HYPERLINK \l "_Toc10162"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_Toc10162 \h </w:instrText>
          </w:r>
          <w:r>
            <w:fldChar w:fldCharType="separate"/>
          </w:r>
          <w:r>
            <w:t>24</w:t>
          </w:r>
          <w:r>
            <w:fldChar w:fldCharType="end"/>
          </w:r>
          <w:r>
            <w:fldChar w:fldCharType="end"/>
          </w:r>
        </w:p>
        <w:p>
          <w:pPr>
            <w:pStyle w:val="16"/>
            <w:tabs>
              <w:tab w:val="right" w:leader="dot" w:pos="8306"/>
              <w:tab w:val="clear" w:pos="8296"/>
            </w:tabs>
          </w:pPr>
          <w:r>
            <w:fldChar w:fldCharType="begin"/>
          </w:r>
          <w:r>
            <w:instrText xml:space="preserve"> HYPERLINK \l "_Toc3138"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_Toc3138 \h </w:instrText>
          </w:r>
          <w:r>
            <w:fldChar w:fldCharType="separate"/>
          </w:r>
          <w:r>
            <w:t>28</w:t>
          </w:r>
          <w:r>
            <w:fldChar w:fldCharType="end"/>
          </w:r>
          <w:r>
            <w:fldChar w:fldCharType="end"/>
          </w:r>
        </w:p>
        <w:p>
          <w:pPr>
            <w:pStyle w:val="16"/>
            <w:tabs>
              <w:tab w:val="right" w:leader="dot" w:pos="8306"/>
              <w:tab w:val="clear" w:pos="8296"/>
            </w:tabs>
          </w:pPr>
          <w:r>
            <w:fldChar w:fldCharType="begin"/>
          </w:r>
          <w:r>
            <w:instrText xml:space="preserve"> HYPERLINK \l "_Toc17110"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_Toc17110 \h </w:instrText>
          </w:r>
          <w:r>
            <w:fldChar w:fldCharType="separate"/>
          </w:r>
          <w:r>
            <w:t>29</w:t>
          </w:r>
          <w:r>
            <w:fldChar w:fldCharType="end"/>
          </w:r>
          <w:r>
            <w:fldChar w:fldCharType="end"/>
          </w:r>
        </w:p>
        <w:p>
          <w:pPr>
            <w:pStyle w:val="16"/>
            <w:tabs>
              <w:tab w:val="right" w:leader="dot" w:pos="8306"/>
              <w:tab w:val="clear" w:pos="8296"/>
            </w:tabs>
          </w:pPr>
          <w:r>
            <w:fldChar w:fldCharType="begin"/>
          </w:r>
          <w:r>
            <w:instrText xml:space="preserve"> HYPERLINK \l "_Toc4606"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_Toc4606 \h </w:instrText>
          </w:r>
          <w:r>
            <w:fldChar w:fldCharType="separate"/>
          </w:r>
          <w:r>
            <w:t>32</w:t>
          </w:r>
          <w:r>
            <w:fldChar w:fldCharType="end"/>
          </w:r>
          <w:r>
            <w:fldChar w:fldCharType="end"/>
          </w:r>
        </w:p>
        <w:p>
          <w:pPr>
            <w:pStyle w:val="16"/>
            <w:tabs>
              <w:tab w:val="right" w:leader="dot" w:pos="8306"/>
              <w:tab w:val="clear" w:pos="8296"/>
            </w:tabs>
          </w:pPr>
          <w:r>
            <w:fldChar w:fldCharType="begin"/>
          </w:r>
          <w:r>
            <w:instrText xml:space="preserve"> HYPERLINK \l "_Toc11469"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_Toc11469 \h </w:instrText>
          </w:r>
          <w:r>
            <w:fldChar w:fldCharType="separate"/>
          </w:r>
          <w:r>
            <w:t>34</w:t>
          </w:r>
          <w:r>
            <w:fldChar w:fldCharType="end"/>
          </w:r>
          <w:r>
            <w:fldChar w:fldCharType="end"/>
          </w:r>
        </w:p>
        <w:p>
          <w:pPr>
            <w:pStyle w:val="16"/>
            <w:tabs>
              <w:tab w:val="right" w:leader="dot" w:pos="8306"/>
              <w:tab w:val="clear" w:pos="8296"/>
            </w:tabs>
          </w:pPr>
          <w:r>
            <w:fldChar w:fldCharType="begin"/>
          </w:r>
          <w:r>
            <w:instrText xml:space="preserve"> HYPERLINK \l "_Toc24766"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_Toc24766 \h </w:instrText>
          </w:r>
          <w:r>
            <w:fldChar w:fldCharType="separate"/>
          </w:r>
          <w:r>
            <w:t>37</w:t>
          </w:r>
          <w:r>
            <w:fldChar w:fldCharType="end"/>
          </w:r>
          <w:r>
            <w:fldChar w:fldCharType="end"/>
          </w:r>
        </w:p>
        <w:p>
          <w:pPr>
            <w:spacing w:line="360" w:lineRule="auto"/>
          </w:pPr>
          <w:r>
            <w:fldChar w:fldCharType="end"/>
          </w:r>
        </w:p>
      </w:sdtContent>
    </w:sdt>
    <w:p>
      <w:pPr>
        <w:widowControl/>
        <w:spacing w:line="360" w:lineRule="auto"/>
        <w:jc w:val="left"/>
        <w:rPr>
          <w:rFonts w:ascii="Times New Roman"/>
          <w:sz w:val="30"/>
        </w:rPr>
      </w:pPr>
    </w:p>
    <w:p>
      <w:pPr>
        <w:widowControl/>
        <w:spacing w:line="360" w:lineRule="auto"/>
        <w:jc w:val="left"/>
        <w:rPr>
          <w:rFonts w:ascii="Times New Roman"/>
          <w:sz w:val="30"/>
        </w:rPr>
        <w:sectPr>
          <w:footerReference r:id="rId10" w:type="default"/>
          <w:pgSz w:w="11906" w:h="16838"/>
          <w:pgMar w:top="1276" w:right="1800" w:bottom="1418" w:left="1800" w:header="567" w:footer="850" w:gutter="0"/>
          <w:cols w:space="425" w:num="1"/>
          <w:docGrid w:type="lines" w:linePitch="312" w:charSpace="0"/>
        </w:sectPr>
      </w:pPr>
    </w:p>
    <w:p>
      <w:pPr>
        <w:pStyle w:val="2"/>
        <w:spacing w:before="0" w:after="0" w:line="360" w:lineRule="auto"/>
        <w:jc w:val="center"/>
        <w:rPr>
          <w:rFonts w:ascii="Times New Roman"/>
          <w:sz w:val="30"/>
        </w:rPr>
      </w:pPr>
      <w:bookmarkStart w:id="74" w:name="_Toc9482"/>
      <w:bookmarkStart w:id="75" w:name="_Toc92377130"/>
      <w:r>
        <w:rPr>
          <w:rFonts w:ascii="Times New Roman"/>
          <w:sz w:val="30"/>
        </w:rPr>
        <w:t>第</w:t>
      </w:r>
      <w:r>
        <w:rPr>
          <w:rFonts w:hint="eastAsia" w:ascii="Times New Roman"/>
          <w:sz w:val="30"/>
        </w:rPr>
        <w:t xml:space="preserve">一条 </w:t>
      </w:r>
      <w:r>
        <w:rPr>
          <w:rFonts w:ascii="Times New Roman"/>
          <w:sz w:val="30"/>
        </w:rPr>
        <w:t xml:space="preserve"> 释义</w:t>
      </w:r>
      <w:bookmarkEnd w:id="73"/>
      <w:bookmarkEnd w:id="74"/>
      <w:bookmarkEnd w:id="75"/>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43"/>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：指产品管理人向投资者提供的，用于描述产品特征，约定权利义务的文件。具体指《兴银理财天天万利宝稳利净值型理财产品销售文件》，包括《投资协议书》、《产品说明书》、《（代理）销售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《投资协议书》：指管理人统一编制的《兴银理财天天万利宝稳利净值型理财产品投资协议书》，以及对该文件的有效修改或补充。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）《产品说明书》：指管理人统一编制的《兴银理财天天万利宝稳利净值型理财产品产品说明书》，以及对该文件的有效修改或补充。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（4）《（代理）销售协议书》：指管理人统一编制的《【兴银理财天天万利宝稳利净值型理财产品（代理）销售协议书》或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的《兴银理财天天万利宝稳利净值型理财产品（代理）销售协议书》（文件名称以代理销售机构实际编制为准），以及对该文件的有效修改或补充。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）《风险揭示书》：指管理人统一编制的《兴银理财天天万利宝稳利净值型理财产品风险揭示书》或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的《兴银理财天天万利宝稳利净值型理财产品风险揭示书》（文件名称以代理销售机构实际编制为准），以及对该文件的有效修改或补充。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）《投资者权益须知》：指管理人统一编制的《兴银理财天天万利宝稳利净值型理财产品投资者权益须知》或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《兴银理财天天万利宝稳利净值型理财产品投资者权益须知》（文件名称以代理销售机构实际编制为准），以及对该文件的有效修改或补充。</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11</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业绩报酬计提基准不代表理财产品未来表现，不等于理财产品实际收益，不作为产品收益的业绩保证，投资须谨慎。</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指理财产品成立后，投资者申请购买理财产品份额的行为。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20</w:t>
      </w:r>
      <w:r>
        <w:rPr>
          <w:rFonts w:hint="eastAsia" w:asciiTheme="minorEastAsia" w:hAnsiTheme="minorEastAsia" w:eastAsiaTheme="minorEastAsia"/>
          <w:color w:val="auto"/>
          <w:sz w:val="18"/>
          <w:szCs w:val="18"/>
        </w:rPr>
        <w:t>）</w:t>
      </w:r>
      <w:r>
        <w:rPr>
          <w:rFonts w:hint="eastAsia" w:ascii="黑体" w:hAnsi="黑体" w:eastAsia="黑体" w:cs="仿宋_GB2312"/>
          <w:bCs/>
          <w:color w:val="auto"/>
          <w:sz w:val="18"/>
          <w:szCs w:val="18"/>
        </w:rPr>
        <w:t>★</w:t>
      </w:r>
      <w:r>
        <w:rPr>
          <w:rFonts w:hint="eastAsia" w:asciiTheme="minorEastAsia" w:hAnsiTheme="minorEastAsia" w:eastAsiaTheme="minorEastAsia"/>
          <w:color w:val="auto"/>
          <w:sz w:val="18"/>
          <w:szCs w:val="18"/>
        </w:rPr>
        <w:t>预约申购</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指投资者在一段特定期间内通过预约的方式提交申购申请，该申请在申购日内自动转化为正式的申购申请。</w:t>
      </w:r>
      <w:r>
        <w:rPr>
          <w:rFonts w:asciiTheme="minorEastAsia" w:hAnsiTheme="minorEastAsia" w:eastAsiaTheme="minorEastAsia"/>
          <w:bCs/>
          <w:color w:val="auto"/>
          <w:sz w:val="18"/>
          <w:szCs w:val="18"/>
        </w:rPr>
        <w:t>提交预约申购</w:t>
      </w:r>
      <w:r>
        <w:rPr>
          <w:rFonts w:hint="eastAsia" w:asciiTheme="minorEastAsia" w:hAnsiTheme="minorEastAsia" w:eastAsiaTheme="minorEastAsia"/>
          <w:bCs/>
          <w:color w:val="auto"/>
          <w:sz w:val="18"/>
          <w:szCs w:val="18"/>
        </w:rPr>
        <w:t>申请</w:t>
      </w:r>
      <w:r>
        <w:rPr>
          <w:rFonts w:asciiTheme="minorEastAsia" w:hAnsiTheme="minorEastAsia" w:eastAsiaTheme="minorEastAsia"/>
          <w:bCs/>
          <w:color w:val="auto"/>
          <w:sz w:val="18"/>
          <w:szCs w:val="18"/>
        </w:rPr>
        <w:t>并不代表申购成功，产品管理人将在申购确认日确认投资者是否申购成功</w:t>
      </w:r>
      <w:r>
        <w:rPr>
          <w:rFonts w:hint="eastAsia" w:asciiTheme="minorEastAsia" w:hAnsiTheme="minorEastAsia" w:eastAsiaTheme="minorEastAsia"/>
          <w:bCs/>
          <w:color w:val="auto"/>
          <w:sz w:val="18"/>
          <w:szCs w:val="18"/>
        </w:rPr>
        <w:t>。</w:t>
      </w:r>
    </w:p>
    <w:p>
      <w:pPr>
        <w:spacing w:line="360" w:lineRule="auto"/>
        <w:ind w:right="-107" w:rightChars="-51"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21</w:t>
      </w:r>
      <w:r>
        <w:rPr>
          <w:rFonts w:hint="eastAsia" w:asciiTheme="minorEastAsia" w:hAnsiTheme="minorEastAsia" w:eastAsiaTheme="minorEastAsia"/>
          <w:sz w:val="18"/>
          <w:szCs w:val="18"/>
        </w:rPr>
        <w:t>）</w:t>
      </w:r>
      <w:r>
        <w:rPr>
          <w:rFonts w:hint="eastAsia" w:ascii="黑体" w:hAnsi="黑体" w:eastAsia="黑体" w:cs="仿宋_GB2312"/>
          <w:bCs/>
          <w:sz w:val="18"/>
          <w:szCs w:val="18"/>
        </w:rPr>
        <w:t>★</w:t>
      </w:r>
      <w:r>
        <w:rPr>
          <w:rFonts w:hint="eastAsia" w:asciiTheme="minorEastAsia" w:hAnsiTheme="minorEastAsia" w:eastAsiaTheme="minorEastAsia"/>
          <w:sz w:val="18"/>
          <w:szCs w:val="18"/>
        </w:rPr>
        <w:t>预约赎回</w:t>
      </w:r>
      <w:r>
        <w:rPr>
          <w:rFonts w:asciiTheme="minorEastAsia" w:hAnsiTheme="minorEastAsia" w:eastAsiaTheme="minorEastAsia"/>
          <w:sz w:val="18"/>
          <w:szCs w:val="18"/>
        </w:rPr>
        <w:t>:</w:t>
      </w:r>
      <w:r>
        <w:rPr>
          <w:rFonts w:hint="eastAsia" w:asciiTheme="minorEastAsia" w:hAnsiTheme="minorEastAsia" w:eastAsiaTheme="minorEastAsia"/>
          <w:sz w:val="18"/>
          <w:szCs w:val="18"/>
        </w:rPr>
        <w:t>指投资者在一段特定期间内通过预约的方式提交赎回申请，该申请在赎回日内自动转化为正式的赎回申请。</w:t>
      </w:r>
      <w:r>
        <w:rPr>
          <w:rFonts w:asciiTheme="majorEastAsia" w:hAnsiTheme="majorEastAsia" w:eastAsiaTheme="majorEastAsia"/>
          <w:bCs/>
          <w:sz w:val="18"/>
          <w:szCs w:val="18"/>
        </w:rPr>
        <w:t>提交预约赎回</w:t>
      </w:r>
      <w:r>
        <w:rPr>
          <w:rFonts w:hint="eastAsia" w:asciiTheme="majorEastAsia" w:hAnsiTheme="majorEastAsia" w:eastAsiaTheme="majorEastAsia"/>
          <w:bCs/>
          <w:sz w:val="18"/>
          <w:szCs w:val="18"/>
        </w:rPr>
        <w:t>申请</w:t>
      </w:r>
      <w:r>
        <w:rPr>
          <w:rFonts w:asciiTheme="majorEastAsia" w:hAnsiTheme="majorEastAsia" w:eastAsiaTheme="majorEastAsia"/>
          <w:bCs/>
          <w:sz w:val="18"/>
          <w:szCs w:val="18"/>
        </w:rPr>
        <w:t>并不代表赎回成功，产品管理人将在赎回确认日确认投资者是否赎回成功</w:t>
      </w:r>
      <w:r>
        <w:rPr>
          <w:rFonts w:hint="eastAsia" w:asciiTheme="majorEastAsia" w:hAnsiTheme="majorEastAsia" w:eastAsiaTheme="majorEastAsia"/>
          <w:bCs/>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22</w:t>
      </w:r>
      <w:r>
        <w:rPr>
          <w:rFonts w:hint="eastAsia" w:asciiTheme="majorEastAsia" w:hAnsiTheme="majorEastAsia" w:eastAsiaTheme="majorEastAsia"/>
          <w:bCs/>
          <w:color w:val="auto"/>
          <w:sz w:val="18"/>
          <w:szCs w:val="18"/>
        </w:rPr>
        <w:t>）巨额赎回：在本理财产品预约赎回期中，本产品的累计产品份额净预约赎回申请（预约赎回申请总份额扣除预约申购总份额后的余额</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下同）之和达到赎回日上一日产品总份额的约定的百分比，为巨额赎回。</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24）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25）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43"/>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43"/>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）★最短持有期:指自产品成立日/申购确认日起，投资者持有的产品份额被锁定持有的最短期间。在最短持有期内，投资者不能赎回该产品份额，最短持有期满后，投资者可以赎回该产品份额。</w:t>
      </w:r>
    </w:p>
    <w:p>
      <w:pPr>
        <w:pStyle w:val="43"/>
        <w:spacing w:line="360" w:lineRule="auto"/>
        <w:ind w:firstLine="360" w:firstLineChars="200"/>
        <w:rPr>
          <w:rFonts w:cs="仿宋_GB2312"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）★投资周期：投资周期指</w:t>
      </w:r>
      <w:r>
        <w:rPr>
          <w:rFonts w:hint="eastAsia" w:asciiTheme="minorEastAsia" w:hAnsiTheme="minorEastAsia" w:eastAsiaTheme="minorEastAsia"/>
          <w:bCs/>
          <w:color w:val="auto"/>
          <w:sz w:val="18"/>
          <w:szCs w:val="18"/>
        </w:rPr>
        <w:t>投资者</w:t>
      </w:r>
      <w:r>
        <w:rPr>
          <w:rFonts w:asciiTheme="minorEastAsia" w:hAnsiTheme="minorEastAsia" w:eastAsiaTheme="minorEastAsia"/>
          <w:bCs/>
          <w:color w:val="auto"/>
          <w:sz w:val="18"/>
          <w:szCs w:val="18"/>
        </w:rPr>
        <w:t>持有理财产品份额</w:t>
      </w:r>
      <w:r>
        <w:rPr>
          <w:rFonts w:hint="eastAsia" w:asciiTheme="minorEastAsia" w:hAnsiTheme="minorEastAsia" w:eastAsiaTheme="minorEastAsia"/>
          <w:bCs/>
          <w:color w:val="auto"/>
          <w:sz w:val="18"/>
          <w:szCs w:val="18"/>
        </w:rPr>
        <w:t>所对应的理财资金由产品管理人进行投资运作的一段完整期间，</w:t>
      </w:r>
      <w:r>
        <w:rPr>
          <w:rFonts w:hint="eastAsia" w:asciiTheme="majorEastAsia" w:hAnsiTheme="majorEastAsia" w:eastAsiaTheme="majorEastAsia"/>
          <w:bCs/>
          <w:color w:val="auto"/>
          <w:sz w:val="18"/>
          <w:szCs w:val="18"/>
        </w:rPr>
        <w:t>每一个投资周期</w:t>
      </w:r>
      <w:r>
        <w:rPr>
          <w:rFonts w:hint="eastAsia" w:cs="仿宋_GB2312" w:asciiTheme="majorEastAsia" w:hAnsiTheme="majorEastAsia" w:eastAsiaTheme="majorEastAsia"/>
          <w:color w:val="auto"/>
          <w:sz w:val="18"/>
          <w:szCs w:val="18"/>
        </w:rPr>
        <w:t>为该</w:t>
      </w:r>
      <w:r>
        <w:rPr>
          <w:rFonts w:hint="eastAsia" w:asciiTheme="majorEastAsia" w:hAnsiTheme="majorEastAsia" w:eastAsiaTheme="majorEastAsia"/>
          <w:bCs/>
          <w:color w:val="auto"/>
          <w:sz w:val="18"/>
          <w:szCs w:val="18"/>
        </w:rPr>
        <w:t>投资周期起始日</w:t>
      </w:r>
      <w:r>
        <w:rPr>
          <w:rFonts w:hint="eastAsia" w:cs="仿宋_GB2312" w:asciiTheme="majorEastAsia" w:hAnsiTheme="majorEastAsia" w:eastAsiaTheme="majorEastAsia"/>
          <w:color w:val="auto"/>
          <w:sz w:val="18"/>
          <w:szCs w:val="18"/>
        </w:rPr>
        <w:t>至该</w:t>
      </w:r>
      <w:r>
        <w:rPr>
          <w:rFonts w:hint="eastAsia" w:asciiTheme="majorEastAsia" w:hAnsiTheme="majorEastAsia" w:eastAsiaTheme="majorEastAsia"/>
          <w:bCs/>
          <w:color w:val="auto"/>
          <w:sz w:val="18"/>
          <w:szCs w:val="18"/>
        </w:rPr>
        <w:t>投资周期</w:t>
      </w:r>
      <w:r>
        <w:rPr>
          <w:rFonts w:hint="eastAsia" w:cs="仿宋_GB2312" w:asciiTheme="majorEastAsia" w:hAnsiTheme="majorEastAsia" w:eastAsiaTheme="majorEastAsia"/>
          <w:color w:val="auto"/>
          <w:sz w:val="18"/>
          <w:szCs w:val="18"/>
        </w:rPr>
        <w:t>终止日的理财期间。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投资周期起始日：指每一个投资周期开始的日期。</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投资周期终止日：指每一个投资周期结束的日期。</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）产品存续期：指自理财产品成立日起，至理财产品终止日的期间。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）预约申购期：指投资者可以提交预约申购申请</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 xml:space="preserve">一段特定时间。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15）</w:t>
      </w:r>
      <w:r>
        <w:rPr>
          <w:rFonts w:hint="eastAsia" w:asciiTheme="majorEastAsia" w:hAnsiTheme="majorEastAsia" w:eastAsiaTheme="majorEastAsia"/>
          <w:bCs/>
          <w:color w:val="auto"/>
          <w:sz w:val="18"/>
          <w:szCs w:val="18"/>
        </w:rPr>
        <w:t>预约</w:t>
      </w:r>
      <w:r>
        <w:rPr>
          <w:rFonts w:asciiTheme="majorEastAsia" w:hAnsiTheme="majorEastAsia" w:eastAsiaTheme="majorEastAsia"/>
          <w:bCs/>
          <w:color w:val="auto"/>
          <w:sz w:val="18"/>
          <w:szCs w:val="18"/>
        </w:rPr>
        <w:t>赎回期</w:t>
      </w:r>
      <w:r>
        <w:rPr>
          <w:rFonts w:hint="eastAsia" w:asciiTheme="majorEastAsia" w:hAnsiTheme="majorEastAsia" w:eastAsiaTheme="majorEastAsia"/>
          <w:bCs/>
          <w:color w:val="auto"/>
          <w:sz w:val="18"/>
          <w:szCs w:val="18"/>
        </w:rPr>
        <w:t>：指投资者可以提交预约赎回申请的一段特定时间。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43"/>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43"/>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43"/>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43"/>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43"/>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43"/>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76" w:name="_Toc23998"/>
      <w:bookmarkStart w:id="77" w:name="_Toc79154665"/>
      <w:bookmarkStart w:id="78" w:name="_Toc92377131"/>
      <w:r>
        <w:rPr>
          <w:rFonts w:hint="eastAsia" w:hAnsi="宋体"/>
          <w:sz w:val="28"/>
          <w:szCs w:val="28"/>
        </w:rPr>
        <w:t>第二条  理财产品基本情况</w:t>
      </w:r>
      <w:bookmarkEnd w:id="76"/>
      <w:bookmarkEnd w:id="77"/>
      <w:bookmarkEnd w:id="78"/>
      <w:r>
        <w:rPr>
          <w:rFonts w:hint="eastAsia" w:hAnsi="宋体"/>
          <w:sz w:val="28"/>
          <w:szCs w:val="28"/>
        </w:rPr>
        <w:t xml:space="preserve"> </w:t>
      </w:r>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bCs/>
                <w:sz w:val="18"/>
                <w:szCs w:val="18"/>
              </w:rPr>
              <w:t>兴业银行天天万利宝稳利2号净值型理财产品J款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vAlign w:val="center"/>
          </w:tcPr>
          <w:p>
            <w:pPr>
              <w:spacing w:line="360" w:lineRule="auto"/>
              <w:jc w:val="left"/>
              <w:rPr>
                <w:rFonts w:ascii="宋体" w:hAnsi="宋体"/>
                <w:kern w:val="0"/>
                <w:sz w:val="22"/>
              </w:rPr>
            </w:pPr>
            <w:r>
              <w:rPr>
                <w:rFonts w:hint="eastAsia" w:ascii="宋体" w:hAnsi="宋体"/>
                <w:bCs/>
                <w:sz w:val="18"/>
                <w:szCs w:val="18"/>
              </w:rPr>
              <w:t>【稳利恒盈</w:t>
            </w:r>
            <w:r>
              <w:rPr>
                <w:rFonts w:ascii="宋体" w:hAnsi="宋体"/>
                <w:bCs/>
                <w:sz w:val="18"/>
                <w:szCs w:val="18"/>
              </w:rPr>
              <w:t>J</w:t>
            </w:r>
            <w:r>
              <w:rPr>
                <w:rFonts w:hint="eastAsia" w:ascii="宋体" w:hAnsi="宋体"/>
                <w:bCs/>
                <w:sz w:val="18"/>
                <w:szCs w:val="18"/>
              </w:rPr>
              <w:t xml:space="preserve"> 6个月】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宋体" w:hAnsi="宋体"/>
                <w:bCs/>
                <w:sz w:val="18"/>
                <w:szCs w:val="18"/>
              </w:rPr>
              <w:t>【</w:t>
            </w:r>
            <w:r>
              <w:rPr>
                <w:rFonts w:ascii="宋体" w:hAnsi="宋体"/>
                <w:bCs/>
                <w:sz w:val="18"/>
                <w:szCs w:val="18"/>
              </w:rPr>
              <w:t>Z7002020000027</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【9K218027】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vAlign w:val="center"/>
          </w:tcPr>
          <w:p>
            <w:pPr>
              <w:spacing w:line="320" w:lineRule="exact"/>
              <w:jc w:val="left"/>
              <w:rPr>
                <w:rFonts w:hAnsi="宋体"/>
                <w:sz w:val="18"/>
                <w:szCs w:val="18"/>
              </w:rPr>
            </w:pPr>
            <w:r>
              <w:rPr>
                <w:rFonts w:hint="eastAsia" w:ascii="宋体" w:hAnsi="宋体"/>
                <w:bCs/>
                <w:color w:val="000000" w:themeColor="text1"/>
                <w:sz w:val="18"/>
                <w:szCs w:val="18"/>
              </w:rPr>
              <w:t>【</w:t>
            </w:r>
            <w:r>
              <w:rPr>
                <w:rFonts w:ascii="宋体" w:hAnsi="宋体"/>
                <w:bCs/>
                <w:color w:val="000000" w:themeColor="text1"/>
                <w:sz w:val="18"/>
                <w:szCs w:val="18"/>
              </w:rPr>
              <w:t>9K218027</w:t>
            </w:r>
            <w:r>
              <w:rPr>
                <w:rFonts w:hint="eastAsia" w:ascii="宋体" w:hAnsi="宋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本产品不设置差异化子份额类别。</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rPr>
            </w:pPr>
            <w:r>
              <w:rPr>
                <w:rFonts w:hint="eastAsia" w:asciiTheme="majorEastAsia" w:hAnsiTheme="majorEastAsia" w:eastAsiaTheme="majorEastAsia"/>
                <w:b/>
                <w:color w:val="000000" w:themeColor="text1"/>
                <w:sz w:val="18"/>
                <w:szCs w:val="18"/>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本产品</w:t>
            </w:r>
            <w:r>
              <w:rPr>
                <w:rFonts w:asciiTheme="majorEastAsia" w:hAnsiTheme="majorEastAsia" w:eastAsiaTheme="majorEastAsia"/>
                <w:bCs/>
                <w:color w:val="000000" w:themeColor="text1"/>
                <w:sz w:val="18"/>
                <w:szCs w:val="18"/>
              </w:rPr>
              <w:t>适合以下类型投资者：</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color w:val="000000" w:themeColor="text1"/>
                <w:sz w:val="18"/>
                <w:szCs w:val="18"/>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规模为【30】亿元，最小成立规模为【/】亿元。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【2018</w:t>
            </w:r>
            <w:r>
              <w:rPr>
                <w:rFonts w:cs="Times New Roman" w:asciiTheme="minorEastAsia" w:hAnsiTheme="minorEastAsia"/>
                <w:sz w:val="18"/>
                <w:szCs w:val="18"/>
              </w:rPr>
              <w:t>】年【12</w:t>
            </w:r>
            <w:r>
              <w:rPr>
                <w:rFonts w:hint="eastAsia" w:cs="Times New Roman" w:asciiTheme="minorEastAsia" w:hAnsiTheme="minorEastAsia"/>
                <w:sz w:val="18"/>
                <w:szCs w:val="18"/>
              </w:rPr>
              <w:t>】月【4】日【11:00】</w:t>
            </w:r>
            <w:r>
              <w:rPr>
                <w:rFonts w:hint="eastAsia" w:cs="仿宋_GB2312" w:asciiTheme="minorEastAsia" w:hAnsiTheme="minorEastAsia"/>
                <w:sz w:val="18"/>
                <w:szCs w:val="18"/>
              </w:rPr>
              <w:t>至</w:t>
            </w:r>
            <w:r>
              <w:rPr>
                <w:rFonts w:hint="eastAsia" w:cs="Times New Roman" w:asciiTheme="minorEastAsia" w:hAnsiTheme="minorEastAsia"/>
                <w:sz w:val="18"/>
                <w:szCs w:val="18"/>
              </w:rPr>
              <w:t>【2018</w:t>
            </w:r>
            <w:r>
              <w:rPr>
                <w:rFonts w:cs="Times New Roman" w:asciiTheme="minorEastAsia" w:hAnsiTheme="minorEastAsia"/>
                <w:sz w:val="18"/>
                <w:szCs w:val="18"/>
              </w:rPr>
              <w:t>】年【</w:t>
            </w:r>
            <w:r>
              <w:rPr>
                <w:rFonts w:hint="eastAsia" w:cs="Times New Roman" w:asciiTheme="minorEastAsia" w:hAnsiTheme="minorEastAsia"/>
                <w:sz w:val="18"/>
                <w:szCs w:val="18"/>
              </w:rPr>
              <w:t>12】月【10】日</w:t>
            </w:r>
            <w:r>
              <w:rPr>
                <w:rFonts w:hint="eastAsia" w:asciiTheme="majorEastAsia" w:hAnsiTheme="majorEastAsia" w:eastAsiaTheme="majorEastAsia"/>
                <w:sz w:val="18"/>
                <w:szCs w:val="18"/>
              </w:rPr>
              <w:t>【15:45】</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【2018</w:t>
            </w:r>
            <w:r>
              <w:rPr>
                <w:rFonts w:cs="Times New Roman" w:asciiTheme="minorEastAsia" w:hAnsiTheme="minorEastAsia"/>
                <w:sz w:val="18"/>
                <w:szCs w:val="18"/>
              </w:rPr>
              <w:t>】年【</w:t>
            </w:r>
            <w:r>
              <w:rPr>
                <w:rFonts w:hint="eastAsia" w:cs="Times New Roman" w:asciiTheme="minorEastAsia" w:hAnsiTheme="minorEastAsia"/>
                <w:sz w:val="18"/>
                <w:szCs w:val="18"/>
              </w:rPr>
              <w:t>1</w:t>
            </w:r>
            <w:r>
              <w:rPr>
                <w:rFonts w:cs="Times New Roman" w:asciiTheme="minorEastAsia" w:hAnsiTheme="minorEastAsia"/>
                <w:sz w:val="18"/>
                <w:szCs w:val="18"/>
              </w:rPr>
              <w:t>2</w:t>
            </w:r>
            <w:r>
              <w:rPr>
                <w:rFonts w:hint="eastAsia" w:cs="Times New Roman" w:asciiTheme="minorEastAsia" w:hAnsiTheme="minorEastAsia"/>
                <w:sz w:val="18"/>
                <w:szCs w:val="18"/>
              </w:rPr>
              <w:t>】月【</w:t>
            </w:r>
            <w:r>
              <w:rPr>
                <w:rFonts w:cs="Times New Roman" w:asciiTheme="minorEastAsia" w:hAnsiTheme="minorEastAsia"/>
                <w:sz w:val="18"/>
                <w:szCs w:val="18"/>
              </w:rPr>
              <w:t>11</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投资</w:t>
            </w:r>
            <w:r>
              <w:rPr>
                <w:rFonts w:asciiTheme="majorEastAsia" w:hAnsiTheme="majorEastAsia" w:eastAsiaTheme="majorEastAsia"/>
                <w:b/>
                <w:sz w:val="18"/>
                <w:szCs w:val="18"/>
              </w:rPr>
              <w:t>周期</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rPr>
            </w:pPr>
            <w:r>
              <w:rPr>
                <w:rFonts w:asciiTheme="minorEastAsia" w:hAnsiTheme="minorEastAsia" w:eastAsiaTheme="minorEastAsia"/>
                <w:bCs/>
                <w:color w:val="000000" w:themeColor="text1"/>
                <w:sz w:val="18"/>
                <w:szCs w:val="18"/>
              </w:rPr>
              <w:t>1</w:t>
            </w:r>
            <w:r>
              <w:rPr>
                <w:rFonts w:asciiTheme="majorEastAsia" w:hAnsiTheme="majorEastAsia" w:eastAsiaTheme="majorEastAsia"/>
                <w:bCs/>
                <w:color w:val="000000" w:themeColor="text1"/>
                <w:sz w:val="18"/>
                <w:szCs w:val="18"/>
              </w:rPr>
              <w:t>.投资周期的设置</w:t>
            </w:r>
          </w:p>
          <w:p>
            <w:pPr>
              <w:spacing w:line="360" w:lineRule="auto"/>
              <w:rPr>
                <w:rFonts w:asciiTheme="minorEastAsia" w:hAnsiTheme="minorEastAsia" w:eastAsiaTheme="minorEastAsia"/>
                <w:bCs/>
                <w:color w:val="000000" w:themeColor="text1"/>
                <w:sz w:val="18"/>
                <w:szCs w:val="18"/>
              </w:rPr>
            </w:pP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1）</w:t>
            </w:r>
            <w:r>
              <w:rPr>
                <w:rFonts w:hint="eastAsia" w:asciiTheme="majorEastAsia" w:hAnsiTheme="majorEastAsia" w:eastAsiaTheme="majorEastAsia"/>
                <w:bCs/>
                <w:color w:val="000000" w:themeColor="text1"/>
                <w:sz w:val="18"/>
                <w:szCs w:val="18"/>
              </w:rPr>
              <w:t>投资周期指</w:t>
            </w:r>
            <w:r>
              <w:rPr>
                <w:rFonts w:hint="eastAsia" w:asciiTheme="minorEastAsia" w:hAnsiTheme="minorEastAsia" w:eastAsiaTheme="minorEastAsia"/>
                <w:bCs/>
                <w:color w:val="000000" w:themeColor="text1"/>
                <w:sz w:val="18"/>
                <w:szCs w:val="18"/>
              </w:rPr>
              <w:t>投资者</w:t>
            </w:r>
            <w:r>
              <w:rPr>
                <w:rFonts w:asciiTheme="minorEastAsia" w:hAnsiTheme="minorEastAsia" w:eastAsiaTheme="minorEastAsia"/>
                <w:bCs/>
                <w:color w:val="000000" w:themeColor="text1"/>
                <w:sz w:val="18"/>
                <w:szCs w:val="18"/>
              </w:rPr>
              <w:t>持有理财产品份额</w:t>
            </w:r>
            <w:r>
              <w:rPr>
                <w:rFonts w:hint="eastAsia" w:asciiTheme="minorEastAsia" w:hAnsiTheme="minorEastAsia" w:eastAsiaTheme="minorEastAsia"/>
                <w:bCs/>
                <w:color w:val="000000" w:themeColor="text1"/>
                <w:sz w:val="18"/>
                <w:szCs w:val="18"/>
              </w:rPr>
              <w:t>所对应的理财资金由产品管理人进行投资运作的一段完整期间。</w:t>
            </w:r>
          </w:p>
          <w:p>
            <w:pPr>
              <w:spacing w:line="360" w:lineRule="auto"/>
              <w:rPr>
                <w:rFonts w:cs="仿宋_GB2312" w:asciiTheme="majorEastAsia" w:hAnsiTheme="majorEastAsia" w:eastAsiaTheme="majorEastAsia"/>
                <w:color w:val="000000" w:themeColor="text1"/>
                <w:kern w:val="0"/>
                <w:sz w:val="18"/>
                <w:szCs w:val="18"/>
              </w:rPr>
            </w:pPr>
            <w:r>
              <w:rPr>
                <w:rFonts w:hint="eastAsia" w:asciiTheme="majorEastAsia" w:hAnsiTheme="majorEastAsia" w:eastAsiaTheme="majorEastAsia"/>
                <w:bCs/>
                <w:color w:val="000000" w:themeColor="text1"/>
                <w:sz w:val="18"/>
                <w:szCs w:val="18"/>
              </w:rPr>
              <w:t>（2）每一个投资周期：包含</w:t>
            </w:r>
            <w:r>
              <w:rPr>
                <w:rFonts w:hint="eastAsia" w:cs="仿宋_GB2312" w:asciiTheme="majorEastAsia" w:hAnsiTheme="majorEastAsia" w:eastAsiaTheme="majorEastAsia"/>
                <w:color w:val="000000" w:themeColor="text1"/>
                <w:kern w:val="0"/>
                <w:sz w:val="18"/>
                <w:szCs w:val="18"/>
              </w:rPr>
              <w:t>该</w:t>
            </w:r>
            <w:r>
              <w:rPr>
                <w:rFonts w:hint="eastAsia" w:asciiTheme="majorEastAsia" w:hAnsiTheme="majorEastAsia" w:eastAsiaTheme="majorEastAsia"/>
                <w:bCs/>
                <w:color w:val="000000" w:themeColor="text1"/>
                <w:sz w:val="18"/>
                <w:szCs w:val="18"/>
              </w:rPr>
              <w:t>投资者对应产品份额的认购确认日</w:t>
            </w:r>
            <w:r>
              <w:rPr>
                <w:rFonts w:asciiTheme="majorEastAsia" w:hAnsiTheme="majorEastAsia" w:eastAsiaTheme="majorEastAsia"/>
                <w:bCs/>
                <w:color w:val="000000" w:themeColor="text1"/>
                <w:sz w:val="18"/>
                <w:szCs w:val="18"/>
              </w:rPr>
              <w:t>/申购确认日</w:t>
            </w:r>
            <w:r>
              <w:rPr>
                <w:rFonts w:hint="eastAsia" w:cs="仿宋_GB2312" w:asciiTheme="majorEastAsia" w:hAnsiTheme="majorEastAsia" w:eastAsiaTheme="majorEastAsia"/>
                <w:color w:val="000000" w:themeColor="text1"/>
                <w:kern w:val="0"/>
                <w:sz w:val="18"/>
                <w:szCs w:val="18"/>
              </w:rPr>
              <w:t>至该投资者对应产品份额的赎回确认日的期间。</w:t>
            </w:r>
          </w:p>
          <w:p>
            <w:pPr>
              <w:spacing w:line="360" w:lineRule="auto"/>
              <w:rPr>
                <w:rFonts w:asciiTheme="majorEastAsia" w:hAnsiTheme="majorEastAsia" w:eastAsiaTheme="majorEastAsia"/>
                <w:bCs/>
                <w:color w:val="000000" w:themeColor="text1"/>
                <w:sz w:val="18"/>
                <w:szCs w:val="18"/>
              </w:rPr>
            </w:pPr>
            <w:r>
              <w:rPr>
                <w:rFonts w:hint="eastAsia" w:asciiTheme="minorEastAsia" w:hAnsiTheme="minorEastAsia" w:eastAsiaTheme="minorEastAsia"/>
                <w:bCs/>
                <w:color w:val="000000" w:themeColor="text1"/>
                <w:sz w:val="18"/>
                <w:szCs w:val="18"/>
              </w:rPr>
              <w:t>（3</w:t>
            </w:r>
            <w:r>
              <w:rPr>
                <w:rFonts w:asciiTheme="minorEastAsia" w:hAnsiTheme="minorEastAsia" w:eastAsiaTheme="minorEastAsia"/>
                <w:bCs/>
                <w:color w:val="000000" w:themeColor="text1"/>
                <w:sz w:val="18"/>
                <w:szCs w:val="18"/>
              </w:rPr>
              <w:t>）</w:t>
            </w:r>
            <w:r>
              <w:rPr>
                <w:rFonts w:hint="eastAsia" w:asciiTheme="majorEastAsia" w:hAnsiTheme="majorEastAsia" w:eastAsiaTheme="majorEastAsia"/>
                <w:bCs/>
                <w:color w:val="000000" w:themeColor="text1"/>
                <w:sz w:val="18"/>
                <w:szCs w:val="18"/>
              </w:rPr>
              <w:t>正常情况下，本产品的一个投资周期为【6个月】</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投资周期存在长于或短于【6个月】的可能，投资者具体投资周期以本产品说明书“申购</w:t>
            </w:r>
            <w:r>
              <w:rPr>
                <w:rFonts w:asciiTheme="majorEastAsia" w:hAnsiTheme="majorEastAsia" w:eastAsiaTheme="majorEastAsia"/>
                <w:bCs/>
                <w:color w:val="000000" w:themeColor="text1"/>
                <w:sz w:val="18"/>
                <w:szCs w:val="18"/>
              </w:rPr>
              <w:t>/赎回安排</w:t>
            </w:r>
            <w:r>
              <w:rPr>
                <w:rFonts w:hint="eastAsia" w:asciiTheme="majorEastAsia" w:hAnsiTheme="majorEastAsia" w:eastAsiaTheme="majorEastAsia"/>
                <w:bCs/>
                <w:color w:val="000000" w:themeColor="text1"/>
                <w:sz w:val="18"/>
                <w:szCs w:val="18"/>
              </w:rPr>
              <w:t>”所载明的天数为准。投资周期终止日如遇非工作日则产品管理人做相应调整。</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2.投资周期的参与</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1）本产品成立前，投资者可通过认购方式参与本产品的第一个投资周期。</w:t>
            </w:r>
          </w:p>
          <w:p>
            <w:pPr>
              <w:spacing w:line="360" w:lineRule="auto"/>
              <w:rPr>
                <w:rFonts w:asciiTheme="minorEastAsia" w:hAnsiTheme="minorEastAsia" w:eastAsiaTheme="minorEastAsia"/>
                <w:bCs/>
                <w:color w:val="000000" w:themeColor="text1"/>
                <w:sz w:val="18"/>
                <w:szCs w:val="18"/>
              </w:rPr>
            </w:pPr>
            <w:r>
              <w:rPr>
                <w:rFonts w:hint="eastAsia" w:cs="仿宋_GB2312" w:asciiTheme="majorEastAsia" w:hAnsiTheme="majorEastAsia" w:eastAsiaTheme="majorEastAsia"/>
                <w:color w:val="000000" w:themeColor="text1"/>
                <w:kern w:val="0"/>
                <w:sz w:val="18"/>
                <w:szCs w:val="18"/>
              </w:rPr>
              <w:t>（</w:t>
            </w:r>
            <w:r>
              <w:rPr>
                <w:rFonts w:cs="仿宋_GB2312" w:asciiTheme="majorEastAsia" w:hAnsiTheme="majorEastAsia" w:eastAsiaTheme="majorEastAsia"/>
                <w:color w:val="000000" w:themeColor="text1"/>
                <w:kern w:val="0"/>
                <w:sz w:val="18"/>
                <w:szCs w:val="18"/>
              </w:rPr>
              <w:t>2）本产品成立后，投资者可通过预约申购方式参与本产品的不同投资周期。</w:t>
            </w:r>
            <w:r>
              <w:rPr>
                <w:rFonts w:hint="eastAsia" w:cs="仿宋_GB2312" w:asciiTheme="majorEastAsia" w:hAnsiTheme="majorEastAsia" w:eastAsiaTheme="majorEastAsia"/>
                <w:color w:val="000000" w:themeColor="text1"/>
                <w:kern w:val="0"/>
                <w:sz w:val="18"/>
                <w:szCs w:val="18"/>
              </w:rPr>
              <w:t>本产品</w:t>
            </w:r>
            <w:r>
              <w:rPr>
                <w:rFonts w:cs="仿宋_GB2312" w:asciiTheme="majorEastAsia" w:hAnsiTheme="majorEastAsia" w:eastAsiaTheme="majorEastAsia"/>
                <w:color w:val="000000" w:themeColor="text1"/>
                <w:kern w:val="0"/>
                <w:sz w:val="18"/>
                <w:szCs w:val="18"/>
              </w:rPr>
              <w:t>成立后管理人可根据募集情况设置预约申购期</w:t>
            </w:r>
            <w:r>
              <w:rPr>
                <w:rFonts w:hint="eastAsia" w:cs="仿宋_GB2312" w:asciiTheme="majorEastAsia" w:hAnsiTheme="majorEastAsia" w:eastAsiaTheme="majorEastAsia"/>
                <w:color w:val="000000" w:themeColor="text1"/>
                <w:kern w:val="0"/>
                <w:sz w:val="18"/>
                <w:szCs w:val="18"/>
              </w:rPr>
              <w:t>。</w:t>
            </w:r>
            <w:r>
              <w:rPr>
                <w:rFonts w:cs="仿宋_GB2312" w:asciiTheme="majorEastAsia" w:hAnsiTheme="majorEastAsia" w:eastAsiaTheme="majorEastAsia"/>
                <w:color w:val="000000" w:themeColor="text1"/>
                <w:kern w:val="0"/>
                <w:sz w:val="18"/>
                <w:szCs w:val="18"/>
              </w:rPr>
              <w:t>在理财产品运作一个完整的投资周期</w:t>
            </w:r>
            <w:r>
              <w:rPr>
                <w:rFonts w:hint="eastAsia" w:cs="仿宋_GB2312" w:asciiTheme="majorEastAsia" w:hAnsiTheme="majorEastAsia" w:eastAsiaTheme="majorEastAsia"/>
                <w:color w:val="000000" w:themeColor="text1"/>
                <w:kern w:val="0"/>
                <w:sz w:val="18"/>
                <w:szCs w:val="18"/>
              </w:rPr>
              <w:t>结束前后，</w:t>
            </w:r>
            <w:r>
              <w:rPr>
                <w:rFonts w:cs="仿宋_GB2312" w:asciiTheme="majorEastAsia" w:hAnsiTheme="majorEastAsia" w:eastAsiaTheme="majorEastAsia"/>
                <w:color w:val="000000" w:themeColor="text1"/>
                <w:kern w:val="0"/>
                <w:sz w:val="18"/>
                <w:szCs w:val="18"/>
              </w:rPr>
              <w:t>管理人可设置预约申购期</w:t>
            </w:r>
            <w:r>
              <w:rPr>
                <w:rFonts w:hint="eastAsia" w:cs="仿宋_GB2312" w:asciiTheme="majorEastAsia" w:hAnsiTheme="majorEastAsia" w:eastAsiaTheme="majorEastAsia"/>
                <w:color w:val="000000" w:themeColor="text1"/>
                <w:kern w:val="0"/>
                <w:sz w:val="18"/>
                <w:szCs w:val="18"/>
              </w:rPr>
              <w:t>。</w:t>
            </w:r>
            <w:r>
              <w:rPr>
                <w:rFonts w:hint="eastAsia" w:ascii="宋体" w:hAnsi="宋体" w:cs="仿宋_GB2312"/>
                <w:kern w:val="0"/>
                <w:sz w:val="18"/>
                <w:szCs w:val="18"/>
              </w:rPr>
              <w:t>投资者可在预约申购期内提交预约申购申请</w:t>
            </w:r>
            <w:r>
              <w:rPr>
                <w:rFonts w:hint="eastAsia" w:asciiTheme="minorEastAsia" w:hAnsiTheme="minorEastAsia" w:eastAsiaTheme="minorEastAsia"/>
                <w:bCs/>
                <w:sz w:val="18"/>
                <w:szCs w:val="18"/>
              </w:rPr>
              <w:t>。</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3.投资周期的退出</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（1）本产品成立后，投资者可通过预约赎回方式退出本产品的投资周期。在</w:t>
            </w:r>
            <w:r>
              <w:rPr>
                <w:rFonts w:asciiTheme="minorEastAsia" w:hAnsiTheme="minorEastAsia" w:eastAsiaTheme="minorEastAsia"/>
                <w:bCs/>
                <w:color w:val="000000" w:themeColor="text1"/>
                <w:sz w:val="18"/>
                <w:szCs w:val="18"/>
              </w:rPr>
              <w:t>投资者持有的理财产品份额</w:t>
            </w:r>
            <w:r>
              <w:rPr>
                <w:rFonts w:hint="eastAsia" w:asciiTheme="minorEastAsia" w:hAnsiTheme="minorEastAsia" w:eastAsiaTheme="minorEastAsia"/>
                <w:bCs/>
                <w:color w:val="000000" w:themeColor="text1"/>
                <w:sz w:val="18"/>
                <w:szCs w:val="18"/>
              </w:rPr>
              <w:t>在运作一个完整的投资周期结束前，投资者可在预约赎回期内</w:t>
            </w:r>
            <w:r>
              <w:rPr>
                <w:rFonts w:asciiTheme="minorEastAsia" w:hAnsiTheme="minorEastAsia" w:eastAsiaTheme="minorEastAsia"/>
                <w:bCs/>
                <w:color w:val="000000" w:themeColor="text1"/>
                <w:sz w:val="18"/>
                <w:szCs w:val="18"/>
              </w:rPr>
              <w:t>提出预约</w:t>
            </w:r>
            <w:r>
              <w:rPr>
                <w:rFonts w:hint="eastAsia" w:asciiTheme="minorEastAsia" w:hAnsiTheme="minorEastAsia" w:eastAsiaTheme="minorEastAsia"/>
                <w:bCs/>
                <w:color w:val="000000" w:themeColor="text1"/>
                <w:sz w:val="18"/>
                <w:szCs w:val="18"/>
              </w:rPr>
              <w:t>赎回申请，如未赎回将进入下一个投资周期继续运作。</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（2）在</w:t>
            </w:r>
            <w:r>
              <w:rPr>
                <w:rFonts w:asciiTheme="minorEastAsia" w:hAnsiTheme="minorEastAsia" w:eastAsiaTheme="minorEastAsia"/>
                <w:bCs/>
                <w:color w:val="000000" w:themeColor="text1"/>
                <w:sz w:val="18"/>
                <w:szCs w:val="18"/>
              </w:rPr>
              <w:t>投资者持有的理财产品份额</w:t>
            </w:r>
            <w:r>
              <w:rPr>
                <w:rFonts w:hint="eastAsia" w:asciiTheme="minorEastAsia" w:hAnsiTheme="minorEastAsia" w:eastAsiaTheme="minorEastAsia"/>
                <w:bCs/>
                <w:color w:val="000000" w:themeColor="text1"/>
                <w:sz w:val="18"/>
                <w:szCs w:val="18"/>
              </w:rPr>
              <w:t>在运作一个完整的投资周期后，投资者</w:t>
            </w:r>
            <w:r>
              <w:rPr>
                <w:rFonts w:asciiTheme="minorEastAsia" w:hAnsiTheme="minorEastAsia" w:eastAsiaTheme="minorEastAsia"/>
                <w:bCs/>
                <w:color w:val="000000" w:themeColor="text1"/>
                <w:sz w:val="18"/>
                <w:szCs w:val="18"/>
              </w:rPr>
              <w:t>也可以继续</w:t>
            </w:r>
            <w:r>
              <w:rPr>
                <w:rFonts w:hint="eastAsia" w:asciiTheme="minorEastAsia" w:hAnsiTheme="minorEastAsia" w:eastAsiaTheme="minorEastAsia"/>
                <w:bCs/>
                <w:color w:val="000000" w:themeColor="text1"/>
                <w:sz w:val="18"/>
                <w:szCs w:val="18"/>
              </w:rPr>
              <w:t>持有理财产品份额进入</w:t>
            </w:r>
            <w:r>
              <w:rPr>
                <w:rFonts w:asciiTheme="minorEastAsia" w:hAnsiTheme="minorEastAsia" w:eastAsiaTheme="minorEastAsia"/>
                <w:bCs/>
                <w:color w:val="000000" w:themeColor="text1"/>
                <w:sz w:val="18"/>
                <w:szCs w:val="18"/>
              </w:rPr>
              <w:t>下一个投资周期</w:t>
            </w:r>
            <w:r>
              <w:rPr>
                <w:rFonts w:hint="eastAsia" w:asciiTheme="minorEastAsia" w:hAnsiTheme="minorEastAsia" w:eastAsiaTheme="minorEastAsia"/>
                <w:bCs/>
                <w:color w:val="000000" w:themeColor="text1"/>
                <w:sz w:val="18"/>
                <w:szCs w:val="18"/>
              </w:rPr>
              <w:t>。</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w:t>
            </w:r>
            <w:r>
              <w:rPr>
                <w:rFonts w:hint="eastAsia" w:asciiTheme="majorEastAsia" w:hAnsiTheme="majorEastAsia" w:eastAsiaTheme="majorEastAsia"/>
                <w:bCs/>
                <w:sz w:val="18"/>
                <w:szCs w:val="18"/>
              </w:rPr>
              <w:t>如果投资者在本产品提前终止时仍有未赎回的份额，则产品管理人将于提前终止日将未赎回的产品</w:t>
            </w:r>
            <w:r>
              <w:rPr>
                <w:rFonts w:asciiTheme="majorEastAsia" w:hAnsiTheme="majorEastAsia" w:eastAsiaTheme="majorEastAsia"/>
                <w:bCs/>
                <w:sz w:val="18"/>
                <w:szCs w:val="18"/>
              </w:rPr>
              <w:t>份额</w:t>
            </w:r>
            <w:r>
              <w:rPr>
                <w:rFonts w:hint="eastAsia" w:asciiTheme="majorEastAsia" w:hAnsiTheme="majorEastAsia" w:eastAsiaTheme="majorEastAsia"/>
                <w:bCs/>
                <w:sz w:val="18"/>
                <w:szCs w:val="18"/>
              </w:rPr>
              <w:t>自动进行清算，于提前终止日分配理财资金，本产品终止。</w:t>
            </w:r>
          </w:p>
          <w:p>
            <w:pPr>
              <w:spacing w:line="360" w:lineRule="auto"/>
              <w:rPr>
                <w:rFonts w:ascii="黑体" w:hAnsi="黑体" w:eastAsia="黑体"/>
                <w:color w:val="000000" w:themeColor="text1"/>
                <w:sz w:val="18"/>
                <w:szCs w:val="18"/>
              </w:rPr>
            </w:pPr>
            <w:r>
              <w:rPr>
                <w:rFonts w:hint="eastAsia" w:ascii="黑体" w:hAnsi="黑体" w:eastAsia="黑体"/>
                <w:color w:val="000000" w:themeColor="text1"/>
                <w:sz w:val="18"/>
                <w:szCs w:val="18"/>
              </w:rPr>
              <w:t>4</w:t>
            </w:r>
            <w:r>
              <w:rPr>
                <w:rFonts w:ascii="黑体" w:hAnsi="黑体" w:eastAsia="黑体"/>
                <w:color w:val="000000" w:themeColor="text1"/>
                <w:sz w:val="18"/>
                <w:szCs w:val="18"/>
              </w:rPr>
              <w:t>.</w:t>
            </w:r>
            <w:r>
              <w:rPr>
                <w:rFonts w:hint="eastAsia" w:ascii="黑体" w:hAnsi="黑体" w:eastAsia="黑体"/>
                <w:color w:val="000000" w:themeColor="text1"/>
                <w:sz w:val="18"/>
                <w:szCs w:val="18"/>
              </w:rPr>
              <w:t>投资周期的调整</w:t>
            </w:r>
          </w:p>
          <w:p>
            <w:pPr>
              <w:spacing w:line="360" w:lineRule="auto"/>
              <w:rPr>
                <w:rFonts w:cs="Times New Roman" w:asciiTheme="minorEastAsia" w:hAnsiTheme="minorEastAsia"/>
                <w:sz w:val="18"/>
                <w:szCs w:val="18"/>
              </w:rPr>
            </w:pPr>
            <w:r>
              <w:rPr>
                <w:rFonts w:hint="eastAsia" w:ascii="黑体" w:hAnsi="黑体" w:eastAsia="黑体"/>
                <w:color w:val="000000" w:themeColor="text1"/>
                <w:sz w:val="18"/>
                <w:szCs w:val="18"/>
              </w:rPr>
              <w:t>产品管理人有权调整投资周期，调整后的投资周期以产品管理人发布的公告中所载明的日期为准。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cs="Times New Roman" w:asciiTheme="minorEastAsia" w:hAnsiTheme="minorEastAsia"/>
                <w:sz w:val="18"/>
                <w:szCs w:val="18"/>
              </w:rPr>
            </w:pPr>
            <w:r>
              <w:rPr>
                <w:rFonts w:hint="eastAsia" w:cs="仿宋_GB2312" w:asciiTheme="majorEastAsia" w:hAnsiTheme="majorEastAsia" w:eastAsiaTheme="majorEastAsia"/>
                <w:color w:val="000000" w:themeColor="text1"/>
                <w:kern w:val="0"/>
                <w:sz w:val="18"/>
                <w:szCs w:val="18"/>
              </w:rPr>
              <w:t>1.</w:t>
            </w:r>
            <w:r>
              <w:rPr>
                <w:rFonts w:hint="eastAsia" w:cs="Times New Roman" w:asciiTheme="minorEastAsia" w:hAnsiTheme="minorEastAsia"/>
                <w:sz w:val="18"/>
                <w:szCs w:val="18"/>
              </w:rPr>
              <w:t>本产品成立后，开放多个预约申购/赎回期。</w:t>
            </w:r>
          </w:p>
          <w:p>
            <w:pPr>
              <w:spacing w:line="360" w:lineRule="auto"/>
              <w:rPr>
                <w:rFonts w:asciiTheme="majorEastAsia" w:hAnsiTheme="majorEastAsia" w:eastAsiaTheme="majorEastAsia"/>
                <w:bCs/>
                <w:color w:val="000000" w:themeColor="text1"/>
                <w:sz w:val="18"/>
                <w:szCs w:val="18"/>
              </w:rPr>
            </w:pPr>
            <w:r>
              <w:rPr>
                <w:rFonts w:hint="eastAsia" w:cs="Times New Roman" w:asciiTheme="minorEastAsia" w:hAnsiTheme="minorEastAsia"/>
                <w:sz w:val="18"/>
                <w:szCs w:val="18"/>
              </w:rPr>
              <w:t>2</w:t>
            </w:r>
            <w:r>
              <w:rPr>
                <w:rFonts w:cs="Times New Roman" w:asciiTheme="minorEastAsia" w:hAnsiTheme="minorEastAsia"/>
                <w:sz w:val="18"/>
                <w:szCs w:val="18"/>
              </w:rPr>
              <w:t>.</w:t>
            </w:r>
            <w:r>
              <w:rPr>
                <w:rFonts w:hint="eastAsia" w:cs="Times New Roman" w:asciiTheme="minorEastAsia" w:hAnsiTheme="minorEastAsia"/>
                <w:sz w:val="18"/>
                <w:szCs w:val="18"/>
              </w:rPr>
              <w:t>预约申购具体安排如下：</w:t>
            </w:r>
          </w:p>
          <w:p>
            <w:pPr>
              <w:spacing w:line="360" w:lineRule="auto"/>
              <w:rPr>
                <w:rFonts w:cs="Times New Roman" w:asciiTheme="minorEastAsia" w:hAnsiTheme="minorEastAsia"/>
                <w:sz w:val="18"/>
                <w:szCs w:val="18"/>
              </w:rPr>
            </w:pPr>
            <w:r>
              <w:rPr>
                <w:rFonts w:hint="eastAsia" w:cs="Times New Roman" w:asciiTheme="minorEastAsia" w:hAnsiTheme="minorEastAsia"/>
                <w:sz w:val="18"/>
                <w:szCs w:val="18"/>
              </w:rPr>
              <w:t>（1）申购的时间</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□预约申购期：【2022】年【05】月【31】日11:00至【2022】年【06】月【06】日15:</w:t>
            </w:r>
            <w:r>
              <w:rPr>
                <w:rFonts w:hint="eastAsia" w:asciiTheme="majorEastAsia" w:hAnsiTheme="majorEastAsia" w:eastAsiaTheme="majorEastAsia"/>
                <w:bCs/>
                <w:color w:val="000000" w:themeColor="text1"/>
                <w:sz w:val="18"/>
                <w:szCs w:val="18"/>
                <w:lang w:val="en-US" w:eastAsia="zh-CN"/>
              </w:rPr>
              <w:t>00</w:t>
            </w:r>
            <w:r>
              <w:rPr>
                <w:rFonts w:hint="eastAsia" w:asciiTheme="majorEastAsia" w:hAnsiTheme="majorEastAsia" w:eastAsiaTheme="majorEastAsia"/>
                <w:bCs/>
                <w:color w:val="000000" w:themeColor="text1"/>
                <w:sz w:val="18"/>
                <w:szCs w:val="18"/>
              </w:rPr>
              <w:t>；投资周期【182】天；</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□预约申购期：【2022】年【06】月【07】日11:00至【2022】年【06】月【13】日15:</w:t>
            </w:r>
            <w:r>
              <w:rPr>
                <w:rFonts w:hint="eastAsia" w:asciiTheme="majorEastAsia" w:hAnsiTheme="majorEastAsia" w:eastAsiaTheme="majorEastAsia"/>
                <w:bCs/>
                <w:color w:val="000000" w:themeColor="text1"/>
                <w:sz w:val="18"/>
                <w:szCs w:val="18"/>
                <w:lang w:val="en-US" w:eastAsia="zh-CN"/>
              </w:rPr>
              <w:t>00</w:t>
            </w:r>
            <w:r>
              <w:rPr>
                <w:rFonts w:hint="eastAsia" w:asciiTheme="majorEastAsia" w:hAnsiTheme="majorEastAsia" w:eastAsiaTheme="majorEastAsia"/>
                <w:bCs/>
                <w:color w:val="000000" w:themeColor="text1"/>
                <w:sz w:val="18"/>
                <w:szCs w:val="18"/>
              </w:rPr>
              <w:t>；投资周期【175】天。</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（2）申购的确认</w:t>
            </w:r>
          </w:p>
          <w:tbl>
            <w:tblPr>
              <w:tblStyle w:val="25"/>
              <w:tblW w:w="719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59"/>
              <w:gridCol w:w="1559"/>
              <w:gridCol w:w="1843"/>
              <w:gridCol w:w="222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8" w:hRule="atLeast"/>
                <w:jc w:val="center"/>
              </w:trPr>
              <w:tc>
                <w:tcPr>
                  <w:tcW w:w="155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预约申购申请日</w:t>
                  </w:r>
                </w:p>
              </w:tc>
              <w:tc>
                <w:tcPr>
                  <w:tcW w:w="1559" w:type="dxa"/>
                  <w:vAlign w:val="center"/>
                </w:tcPr>
                <w:p>
                  <w:pPr>
                    <w:pStyle w:val="43"/>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申购日</w:t>
                  </w:r>
                </w:p>
              </w:tc>
              <w:tc>
                <w:tcPr>
                  <w:tcW w:w="1843"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222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w:t>
                  </w:r>
                  <w:r>
                    <w:rPr>
                      <w:rFonts w:cs="Times New Roman" w:asciiTheme="minorEastAsia" w:hAnsiTheme="minorEastAsia"/>
                      <w:b/>
                      <w:bCs/>
                      <w:color w:val="auto"/>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7" w:hRule="atLeast"/>
                <w:jc w:val="center"/>
              </w:trPr>
              <w:tc>
                <w:tcPr>
                  <w:tcW w:w="1559" w:type="dxa"/>
                </w:tcPr>
                <w:p>
                  <w:pPr>
                    <w:pStyle w:val="43"/>
                    <w:spacing w:line="360" w:lineRule="auto"/>
                    <w:jc w:val="left"/>
                    <w:rPr>
                      <w:rFonts w:asciiTheme="minorEastAsia" w:hAnsiTheme="minorEastAsia"/>
                      <w:bCs/>
                      <w:color w:val="auto"/>
                      <w:kern w:val="2"/>
                      <w:sz w:val="18"/>
                      <w:szCs w:val="18"/>
                    </w:rPr>
                  </w:pPr>
                  <w:r>
                    <w:rPr>
                      <w:rFonts w:hint="eastAsia" w:cs="Times New Roman" w:asciiTheme="minorEastAsia" w:hAnsiTheme="minorEastAsia" w:eastAsiaTheme="minorEastAsia"/>
                      <w:color w:val="auto"/>
                      <w:sz w:val="18"/>
                      <w:szCs w:val="18"/>
                    </w:rPr>
                    <w:t>为预约申购期内任意一日</w:t>
                  </w:r>
                </w:p>
              </w:tc>
              <w:tc>
                <w:tcPr>
                  <w:tcW w:w="1559" w:type="dxa"/>
                </w:tcPr>
                <w:p>
                  <w:pPr>
                    <w:pStyle w:val="43"/>
                    <w:spacing w:line="360" w:lineRule="auto"/>
                    <w:jc w:val="both"/>
                    <w:rPr>
                      <w:rFonts w:cs="Times New Roman" w:asciiTheme="minorEastAsia" w:hAnsiTheme="minorEastAsia" w:eastAsiaTheme="minorEastAsia"/>
                      <w:bCs/>
                      <w:sz w:val="18"/>
                      <w:szCs w:val="18"/>
                    </w:rPr>
                  </w:pPr>
                  <w:r>
                    <w:rPr>
                      <w:rFonts w:hint="eastAsia" w:cs="Times New Roman" w:asciiTheme="minorEastAsia" w:hAnsiTheme="minorEastAsia" w:eastAsiaTheme="minorEastAsia"/>
                      <w:color w:val="auto"/>
                      <w:sz w:val="18"/>
                      <w:szCs w:val="18"/>
                    </w:rPr>
                    <w:t>为预约申购期内最后一个工作日</w:t>
                  </w:r>
                </w:p>
              </w:tc>
              <w:tc>
                <w:tcPr>
                  <w:tcW w:w="1843"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申购日后【2】个工作日内</w:t>
                  </w:r>
                </w:p>
              </w:tc>
              <w:tc>
                <w:tcPr>
                  <w:tcW w:w="2229"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产品管理人在申购确认日对投资者的申购申请的有效性进行确认，并登记理财份额。</w:t>
                  </w: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cs="Times New Roman" w:asciiTheme="minorEastAsia" w:hAnsiTheme="minorEastAsia"/>
                <w:sz w:val="18"/>
                <w:szCs w:val="18"/>
              </w:rPr>
              <w:t>本产品在一个完整投资周期结束前，设置一个预约申购期；在一个完整投资周期结束后，再设置多个预约申购期。</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3</w:t>
            </w:r>
            <w:r>
              <w:rPr>
                <w:rFonts w:asciiTheme="majorEastAsia" w:hAnsiTheme="majorEastAsia" w:eastAsiaTheme="majorEastAsia"/>
                <w:bCs/>
                <w:color w:val="000000" w:themeColor="text1"/>
                <w:sz w:val="18"/>
                <w:szCs w:val="18"/>
              </w:rPr>
              <w:t>.预约</w:t>
            </w:r>
            <w:r>
              <w:rPr>
                <w:rFonts w:hint="eastAsia" w:asciiTheme="majorEastAsia" w:hAnsiTheme="majorEastAsia" w:eastAsiaTheme="majorEastAsia"/>
                <w:bCs/>
                <w:color w:val="000000" w:themeColor="text1"/>
                <w:sz w:val="18"/>
                <w:szCs w:val="18"/>
              </w:rPr>
              <w:t>赎回具体安排如下：</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（1）赎回的时间</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预约赎回期：【2022】年【11】月【22】日00:00至【2022】年【12】月【05】日15:</w:t>
            </w:r>
            <w:r>
              <w:rPr>
                <w:rFonts w:hint="eastAsia" w:asciiTheme="majorEastAsia" w:hAnsiTheme="majorEastAsia" w:eastAsiaTheme="majorEastAsia"/>
                <w:bCs/>
                <w:color w:val="000000" w:themeColor="text1"/>
                <w:sz w:val="18"/>
                <w:szCs w:val="18"/>
                <w:lang w:val="en-US" w:eastAsia="zh-CN"/>
              </w:rPr>
              <w:t>00</w:t>
            </w:r>
            <w:r>
              <w:rPr>
                <w:rFonts w:hint="eastAsia" w:asciiTheme="majorEastAsia" w:hAnsiTheme="majorEastAsia" w:eastAsiaTheme="majorEastAsia"/>
                <w:bCs/>
                <w:color w:val="000000" w:themeColor="text1"/>
                <w:sz w:val="18"/>
                <w:szCs w:val="18"/>
              </w:rPr>
              <w:t>；</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（2）赎回的确认</w:t>
            </w:r>
          </w:p>
          <w:tbl>
            <w:tblPr>
              <w:tblStyle w:val="25"/>
              <w:tblW w:w="719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59"/>
              <w:gridCol w:w="1559"/>
              <w:gridCol w:w="1843"/>
              <w:gridCol w:w="222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8" w:hRule="atLeast"/>
                <w:jc w:val="center"/>
              </w:trPr>
              <w:tc>
                <w:tcPr>
                  <w:tcW w:w="155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预约赎回申请日</w:t>
                  </w:r>
                </w:p>
              </w:tc>
              <w:tc>
                <w:tcPr>
                  <w:tcW w:w="1559" w:type="dxa"/>
                  <w:vAlign w:val="center"/>
                </w:tcPr>
                <w:p>
                  <w:pPr>
                    <w:pStyle w:val="43"/>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赎回日</w:t>
                  </w:r>
                </w:p>
              </w:tc>
              <w:tc>
                <w:tcPr>
                  <w:tcW w:w="1843"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赎回确认日</w:t>
                  </w:r>
                </w:p>
              </w:tc>
              <w:tc>
                <w:tcPr>
                  <w:tcW w:w="222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赎回确认</w:t>
                  </w:r>
                  <w:r>
                    <w:rPr>
                      <w:rFonts w:cs="Times New Roman" w:asciiTheme="minorEastAsia" w:hAnsiTheme="minorEastAsia"/>
                      <w:b/>
                      <w:bCs/>
                      <w:color w:val="auto"/>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7" w:hRule="atLeast"/>
                <w:jc w:val="center"/>
              </w:trPr>
              <w:tc>
                <w:tcPr>
                  <w:tcW w:w="1559" w:type="dxa"/>
                </w:tcPr>
                <w:p>
                  <w:pPr>
                    <w:pStyle w:val="43"/>
                    <w:spacing w:line="360" w:lineRule="auto"/>
                    <w:jc w:val="left"/>
                    <w:rPr>
                      <w:rFonts w:asciiTheme="minorEastAsia" w:hAnsiTheme="minorEastAsia"/>
                      <w:bCs/>
                      <w:color w:val="auto"/>
                      <w:kern w:val="2"/>
                      <w:sz w:val="18"/>
                      <w:szCs w:val="18"/>
                    </w:rPr>
                  </w:pPr>
                  <w:r>
                    <w:rPr>
                      <w:rFonts w:hint="eastAsia" w:cs="Times New Roman" w:asciiTheme="minorEastAsia" w:hAnsiTheme="minorEastAsia" w:eastAsiaTheme="minorEastAsia"/>
                      <w:color w:val="auto"/>
                      <w:sz w:val="18"/>
                      <w:szCs w:val="18"/>
                    </w:rPr>
                    <w:t>为预约赎回期内任意一日</w:t>
                  </w:r>
                </w:p>
              </w:tc>
              <w:tc>
                <w:tcPr>
                  <w:tcW w:w="1559" w:type="dxa"/>
                </w:tcPr>
                <w:p>
                  <w:pPr>
                    <w:pStyle w:val="43"/>
                    <w:spacing w:line="360" w:lineRule="auto"/>
                    <w:jc w:val="both"/>
                    <w:rPr>
                      <w:rFonts w:cs="Times New Roman" w:asciiTheme="minorEastAsia" w:hAnsiTheme="minorEastAsia" w:eastAsiaTheme="minorEastAsia"/>
                      <w:bCs/>
                      <w:sz w:val="18"/>
                      <w:szCs w:val="18"/>
                    </w:rPr>
                  </w:pPr>
                  <w:r>
                    <w:rPr>
                      <w:rFonts w:hint="eastAsia" w:cs="Times New Roman" w:asciiTheme="minorEastAsia" w:hAnsiTheme="minorEastAsia" w:eastAsiaTheme="minorEastAsia"/>
                      <w:color w:val="auto"/>
                      <w:sz w:val="18"/>
                      <w:szCs w:val="18"/>
                    </w:rPr>
                    <w:t>为预约赎回期内最后一个工作日</w:t>
                  </w:r>
                </w:p>
              </w:tc>
              <w:tc>
                <w:tcPr>
                  <w:tcW w:w="1843"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赎回日后【2】个工作日内</w:t>
                  </w:r>
                </w:p>
              </w:tc>
              <w:tc>
                <w:tcPr>
                  <w:tcW w:w="2229"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产品管理人在赎回</w:t>
                  </w:r>
                  <w:r>
                    <w:rPr>
                      <w:rFonts w:cs="Times New Roman" w:asciiTheme="minorEastAsia" w:hAnsiTheme="minorEastAsia" w:eastAsiaTheme="minorEastAsia"/>
                      <w:bCs/>
                      <w:sz w:val="18"/>
                      <w:szCs w:val="18"/>
                    </w:rPr>
                    <w:t>确认日</w:t>
                  </w:r>
                  <w:r>
                    <w:rPr>
                      <w:rFonts w:hint="eastAsia" w:cs="Times New Roman" w:asciiTheme="minorEastAsia" w:hAnsiTheme="minorEastAsia" w:eastAsiaTheme="minorEastAsia"/>
                      <w:bCs/>
                      <w:sz w:val="18"/>
                      <w:szCs w:val="18"/>
                    </w:rPr>
                    <w:t>对投资者的赎回申请的有效性进行确认，并注销理财份额。</w:t>
                  </w: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日后【5】个工作日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4.预约申购期/</w:t>
            </w:r>
            <w:r>
              <w:rPr>
                <w:rFonts w:hint="eastAsia" w:asciiTheme="majorEastAsia" w:hAnsiTheme="majorEastAsia" w:eastAsiaTheme="majorEastAsia"/>
                <w:bCs/>
                <w:color w:val="000000" w:themeColor="text1"/>
                <w:sz w:val="18"/>
                <w:szCs w:val="18"/>
              </w:rPr>
              <w:t>预约赎回期的起始日和终止日如遇非工作日，则产品管理人做相应调整。</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5</w:t>
            </w:r>
            <w:r>
              <w:rPr>
                <w:rFonts w:hint="eastAsia" w:asciiTheme="majorEastAsia" w:hAnsiTheme="majorEastAsia" w:eastAsiaTheme="majorEastAsia"/>
                <w:bCs/>
                <w:color w:val="000000" w:themeColor="text1"/>
                <w:sz w:val="18"/>
                <w:szCs w:val="18"/>
              </w:rPr>
              <w:t>.</w:t>
            </w:r>
            <w:r>
              <w:rPr>
                <w:rFonts w:hint="eastAsia" w:cs="Times New Roman" w:asciiTheme="minorEastAsia" w:hAnsiTheme="minorEastAsia"/>
                <w:sz w:val="18"/>
                <w:szCs w:val="18"/>
              </w:rPr>
              <w:t>本产品在一个完整投资周期结束前，由产品</w:t>
            </w:r>
            <w:r>
              <w:rPr>
                <w:rFonts w:cs="Times New Roman" w:asciiTheme="minorEastAsia" w:hAnsiTheme="minorEastAsia"/>
                <w:sz w:val="18"/>
                <w:szCs w:val="18"/>
              </w:rPr>
              <w:t>管理人</w:t>
            </w:r>
            <w:r>
              <w:rPr>
                <w:rFonts w:hint="eastAsia" w:cs="Times New Roman" w:asciiTheme="minorEastAsia" w:hAnsiTheme="minorEastAsia"/>
                <w:sz w:val="18"/>
                <w:szCs w:val="18"/>
              </w:rPr>
              <w:t>更新产品说明书，约定下一个完整投资周期对应的</w:t>
            </w:r>
            <w:r>
              <w:rPr>
                <w:rFonts w:asciiTheme="majorEastAsia" w:hAnsiTheme="majorEastAsia" w:eastAsiaTheme="majorEastAsia"/>
                <w:bCs/>
                <w:color w:val="000000" w:themeColor="text1"/>
                <w:sz w:val="18"/>
                <w:szCs w:val="18"/>
              </w:rPr>
              <w:t>预约申购期/</w:t>
            </w:r>
            <w:r>
              <w:rPr>
                <w:rFonts w:hint="eastAsia" w:asciiTheme="majorEastAsia" w:hAnsiTheme="majorEastAsia" w:eastAsiaTheme="majorEastAsia"/>
                <w:bCs/>
                <w:color w:val="000000" w:themeColor="text1"/>
                <w:sz w:val="18"/>
                <w:szCs w:val="18"/>
              </w:rPr>
              <w:t>预约赎回期。</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注：关于代理销售机构的实际工作服务时段的提示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②代理销售机构的实际工作服务时段，最早不得早于销售文件约定</w:t>
            </w:r>
            <w:r>
              <w:rPr>
                <w:rFonts w:ascii="黑体" w:hAnsi="黑体" w:eastAsia="黑体"/>
                <w:bCs/>
                <w:color w:val="000000" w:themeColor="text1"/>
                <w:sz w:val="18"/>
                <w:szCs w:val="18"/>
              </w:rPr>
              <w:t>的</w:t>
            </w:r>
            <w:r>
              <w:rPr>
                <w:rFonts w:hint="eastAsia" w:ascii="黑体" w:hAnsi="黑体" w:eastAsia="黑体"/>
                <w:bCs/>
                <w:color w:val="000000" w:themeColor="text1"/>
                <w:sz w:val="18"/>
                <w:szCs w:val="18"/>
              </w:rPr>
              <w:t>起始时点、最晚不得晚于销售文件</w:t>
            </w:r>
            <w:r>
              <w:rPr>
                <w:rFonts w:ascii="黑体" w:hAnsi="黑体" w:eastAsia="黑体"/>
                <w:bCs/>
                <w:color w:val="000000" w:themeColor="text1"/>
                <w:sz w:val="18"/>
                <w:szCs w:val="18"/>
              </w:rPr>
              <w:t>约定的</w:t>
            </w:r>
            <w:r>
              <w:rPr>
                <w:rFonts w:hint="eastAsia" w:ascii="黑体" w:hAnsi="黑体" w:eastAsia="黑体"/>
                <w:bCs/>
                <w:color w:val="000000" w:themeColor="text1"/>
                <w:sz w:val="18"/>
                <w:szCs w:val="18"/>
              </w:rPr>
              <w:t>终止时点</w:t>
            </w:r>
            <w:r>
              <w:rPr>
                <w:rFonts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购买起点金额为【1.00】元；超出起点金额的部分以【0.01】元的整数倍递增。</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 xml:space="preserve">★认购、申购与赎回的数量限制 </w:t>
            </w:r>
            <w:r>
              <w:rPr>
                <w:rFonts w:hAnsi="宋体"/>
                <w:b/>
                <w:sz w:val="18"/>
                <w:szCs w:val="18"/>
              </w:rPr>
              <w:t xml:space="preserve"> </w:t>
            </w:r>
          </w:p>
        </w:tc>
        <w:tc>
          <w:tcPr>
            <w:tcW w:w="7704" w:type="dxa"/>
            <w:shd w:val="solid" w:color="FFFFFF" w:fill="FFFFFF"/>
            <w:vAlign w:val="center"/>
          </w:tcPr>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43"/>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43"/>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【/】份，符合产品管理人流动性管理的稳定资金除外。</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43"/>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pPr>
              <w:pStyle w:val="43"/>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pPr>
              <w:pStyle w:val="43"/>
              <w:spacing w:line="360" w:lineRule="auto"/>
              <w:rPr>
                <w:rFonts w:asciiTheme="minorEastAsia" w:hAnsiTheme="minorEastAsia" w:eastAsiaTheme="minorEastAsia"/>
                <w:color w:val="auto"/>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43"/>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预约赎回期中，本产品的累计产品份额净预约赎回申请（预约赎回申请总份额扣除预约申购总份额后的余额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下同）之和达到赎回日上一日产品总份额的【10】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日之前的估值日公布的产品份额净值已扣除交易手续费、销售服务费、产品托管费、投资管理费。</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rPr>
                <w:rFonts w:asciiTheme="majorEastAsia" w:hAnsiTheme="majorEastAsia"/>
                <w:bCs/>
                <w:sz w:val="18"/>
                <w:szCs w:val="18"/>
              </w:rPr>
            </w:pPr>
            <w:r>
              <w:rPr>
                <w:rFonts w:hint="eastAsia" w:ascii="宋体" w:hAnsi="宋体"/>
                <w:b/>
                <w:bCs/>
                <w:sz w:val="18"/>
                <w:szCs w:val="18"/>
              </w:rPr>
              <w:t>1.业绩比较基准的说明：</w:t>
            </w:r>
            <w:r>
              <w:rPr>
                <w:rFonts w:hint="eastAsia" w:asciiTheme="majorEastAsia" w:hAnsiTheme="majorEastAsia" w:eastAsiaTheme="majorEastAsia"/>
                <w:bCs/>
                <w:sz w:val="18"/>
                <w:szCs w:val="18"/>
              </w:rPr>
              <w:t>以一年期定期存款利率为无风险利率，基于当前对未来市场的判断，根据拟投资固定收益类资产的信用利差、久期敞口以及流动性溢价，预判组合的波动幅度，设定业绩基准。</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
                <w:sz w:val="18"/>
              </w:rPr>
              <w:t>管理人对</w:t>
            </w:r>
            <w:r>
              <w:rPr>
                <w:rFonts w:asciiTheme="majorEastAsia" w:hAnsiTheme="majorEastAsia"/>
                <w:b/>
                <w:sz w:val="18"/>
              </w:rPr>
              <w:t>本产品设定</w:t>
            </w:r>
            <w:r>
              <w:rPr>
                <w:rFonts w:hint="eastAsia" w:asciiTheme="majorEastAsia" w:hAnsiTheme="majorEastAsia"/>
                <w:b/>
                <w:sz w:val="18"/>
              </w:rPr>
              <w:t>业绩比较基准：年化</w:t>
            </w:r>
            <w:r>
              <w:rPr>
                <w:rFonts w:hint="eastAsia" w:ascii="宋体" w:hAnsi="宋体"/>
                <w:b/>
                <w:bCs/>
                <w:sz w:val="18"/>
                <w:szCs w:val="18"/>
              </w:rPr>
              <w:t>【3.00-4.00%</w:t>
            </w:r>
            <w:r>
              <w:rPr>
                <w:rFonts w:ascii="宋体" w:hAnsi="宋体"/>
                <w:b/>
                <w:bCs/>
                <w:sz w:val="18"/>
                <w:szCs w:val="18"/>
              </w:rPr>
              <w:t>】</w:t>
            </w:r>
            <w:r>
              <w:rPr>
                <w:rFonts w:hint="eastAsia" w:ascii="宋体" w:hAnsi="宋体"/>
                <w:b/>
                <w:bCs/>
                <w:sz w:val="18"/>
                <w:szCs w:val="18"/>
              </w:rPr>
              <w:t>。</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管理人对本产品设定业绩报酬计提基准：【4.00%】。</w:t>
            </w:r>
          </w:p>
          <w:p>
            <w:pPr>
              <w:spacing w:line="360" w:lineRule="auto"/>
              <w:jc w:val="left"/>
              <w:rPr>
                <w:rFonts w:ascii="宋体" w:hAnsi="宋体"/>
                <w:b/>
                <w:bCs/>
                <w:sz w:val="18"/>
                <w:szCs w:val="18"/>
              </w:rPr>
            </w:pPr>
            <w:r>
              <w:rPr>
                <w:rFonts w:hint="eastAsia" w:ascii="宋体" w:hAnsi="宋体"/>
                <w:b/>
                <w:bCs/>
                <w:sz w:val="18"/>
                <w:szCs w:val="18"/>
              </w:rPr>
              <w:t>业绩报酬计提基准仅作为管理人收取超额业绩报酬的参照数值标准，不代表理财产品未来表现，不等于理财产品实际收益，不作为产品收益的业绩保证，投资须谨慎。</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hint="eastAsia" w:ascii="宋体" w:hAnsi="宋体"/>
                <w:b/>
                <w:bCs/>
                <w:color w:val="000000" w:themeColor="text1"/>
                <w:sz w:val="18"/>
                <w:szCs w:val="18"/>
              </w:rPr>
              <w:t>认购费：</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hint="eastAsia" w:ascii="宋体" w:hAnsi="宋体"/>
                <w:bCs/>
                <w:color w:val="000000" w:themeColor="text1"/>
                <w:sz w:val="18"/>
                <w:szCs w:val="18"/>
              </w:rPr>
              <w:t>【/】</w:t>
            </w:r>
            <w:r>
              <w:rPr>
                <w:rFonts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3.</w:t>
            </w:r>
            <w:r>
              <w:rPr>
                <w:rFonts w:hint="eastAsia" w:ascii="宋体" w:hAnsi="宋体"/>
                <w:b/>
                <w:bCs/>
                <w:color w:val="000000" w:themeColor="text1"/>
                <w:sz w:val="18"/>
                <w:szCs w:val="18"/>
              </w:rPr>
              <w:t>赎回费：</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Theme="majorEastAsia" w:hAnsiTheme="majorEastAsia" w:eastAsiaTheme="majorEastAsia"/>
                <w:b/>
                <w:bCs/>
                <w:color w:val="000000" w:themeColor="text1"/>
                <w:sz w:val="18"/>
                <w:szCs w:val="18"/>
              </w:rPr>
              <w:t>4.销售服</w:t>
            </w:r>
            <w:r>
              <w:rPr>
                <w:rFonts w:hint="eastAsia" w:ascii="宋体" w:hAnsi="宋体"/>
                <w:b/>
                <w:bCs/>
                <w:color w:val="000000" w:themeColor="text1"/>
                <w:sz w:val="18"/>
                <w:szCs w:val="18"/>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【0.40】%</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5.</w:t>
            </w:r>
            <w:r>
              <w:rPr>
                <w:rFonts w:hint="eastAsia" w:ascii="宋体" w:hAnsi="宋体"/>
                <w:b/>
                <w:bCs/>
                <w:color w:val="000000" w:themeColor="text1"/>
                <w:sz w:val="18"/>
                <w:szCs w:val="18"/>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20】</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hint="eastAsia" w:ascii="宋体" w:hAnsi="宋体"/>
                <w:b/>
                <w:bCs/>
                <w:color w:val="000000" w:themeColor="text1"/>
                <w:sz w:val="18"/>
                <w:szCs w:val="18"/>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pPr>
              <w:widowControl/>
              <w:spacing w:line="360" w:lineRule="auto"/>
              <w:jc w:val="left"/>
              <w:rPr>
                <w:rFonts w:ascii="宋体" w:hAnsi="宋体"/>
                <w:b/>
                <w:bCs/>
                <w:color w:val="000000" w:themeColor="text1"/>
                <w:sz w:val="18"/>
                <w:szCs w:val="18"/>
              </w:rPr>
            </w:pPr>
            <w:r>
              <w:rPr>
                <w:rFonts w:hint="eastAsia" w:ascii="宋体" w:hAnsi="宋体"/>
                <w:b/>
                <w:bCs/>
                <w:color w:val="000000" w:themeColor="text1"/>
                <w:sz w:val="18"/>
                <w:szCs w:val="18"/>
              </w:rPr>
              <w:t>7</w:t>
            </w:r>
            <w:r>
              <w:rPr>
                <w:rFonts w:ascii="宋体" w:hAnsi="宋体"/>
                <w:b/>
                <w:bCs/>
                <w:color w:val="000000" w:themeColor="text1"/>
                <w:sz w:val="18"/>
                <w:szCs w:val="18"/>
              </w:rPr>
              <w:t>.</w:t>
            </w:r>
            <w:r>
              <w:rPr>
                <w:rFonts w:hint="eastAsia" w:ascii="宋体" w:hAnsi="宋体"/>
                <w:b/>
                <w:bCs/>
                <w:color w:val="000000" w:themeColor="text1"/>
                <w:sz w:val="18"/>
                <w:szCs w:val="18"/>
              </w:rPr>
              <w:t>超额业绩报酬：</w:t>
            </w:r>
          </w:p>
          <w:p>
            <w:pPr>
              <w:widowControl/>
              <w:spacing w:line="360" w:lineRule="auto"/>
              <w:jc w:val="left"/>
              <w:rPr>
                <w:rFonts w:ascii="宋体" w:hAnsi="宋体"/>
                <w:sz w:val="18"/>
                <w:szCs w:val="18"/>
              </w:rPr>
            </w:pPr>
            <w:r>
              <w:rPr>
                <w:rFonts w:hint="eastAsia" w:ascii="宋体" w:hAnsi="宋体"/>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30%】作为超额业绩报酬。</w:t>
            </w:r>
          </w:p>
          <w:p>
            <w:pPr>
              <w:spacing w:line="360" w:lineRule="auto"/>
              <w:rPr>
                <w:rFonts w:ascii="黑体" w:hAnsi="黑体" w:eastAsia="黑体"/>
                <w:bCs/>
                <w:sz w:val="18"/>
                <w:szCs w:val="18"/>
              </w:rPr>
            </w:pPr>
            <w:r>
              <w:rPr>
                <w:rFonts w:ascii="宋体" w:hAnsi="宋体"/>
                <w:bCs/>
                <w:sz w:val="18"/>
                <w:szCs w:val="18"/>
              </w:rPr>
              <w:t>8</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43"/>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79" w:name="_Toc15862"/>
      <w:bookmarkStart w:id="80" w:name="_Toc92377132"/>
      <w:bookmarkStart w:id="81" w:name="_Toc79154666"/>
      <w:r>
        <w:rPr>
          <w:rFonts w:ascii="Times New Roman"/>
          <w:sz w:val="30"/>
        </w:rPr>
        <w:t>第</w:t>
      </w:r>
      <w:r>
        <w:rPr>
          <w:rFonts w:hint="eastAsia" w:ascii="Times New Roman"/>
          <w:sz w:val="30"/>
        </w:rPr>
        <w:t>三条</w:t>
      </w:r>
      <w:r>
        <w:rPr>
          <w:rFonts w:ascii="Times New Roman"/>
          <w:sz w:val="30"/>
        </w:rPr>
        <w:t xml:space="preserve">  </w:t>
      </w:r>
      <w:bookmarkStart w:id="82" w:name="_Toc79392573"/>
      <w:r>
        <w:rPr>
          <w:rFonts w:hint="eastAsia" w:ascii="Times New Roman"/>
          <w:sz w:val="30"/>
        </w:rPr>
        <w:t>理财产品的认购</w:t>
      </w:r>
      <w:bookmarkEnd w:id="79"/>
      <w:bookmarkEnd w:id="80"/>
      <w:bookmarkEnd w:id="81"/>
    </w:p>
    <w:p>
      <w:pPr>
        <w:spacing w:line="360" w:lineRule="auto"/>
        <w:ind w:firstLine="361" w:firstLineChars="200"/>
        <w:rPr>
          <w:rFonts w:asciiTheme="minorEastAsia" w:hAnsiTheme="minorEastAsia"/>
          <w:b/>
          <w:bCs/>
          <w:sz w:val="18"/>
          <w:szCs w:val="18"/>
        </w:rPr>
      </w:pPr>
      <w:bookmarkStart w:id="83" w:name="_Hlt88031774"/>
      <w:bookmarkEnd w:id="83"/>
      <w:bookmarkStart w:id="84"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进入理财运作，不计算理财利益。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85" w:name="_Toc28040"/>
      <w:bookmarkStart w:id="86" w:name="_Toc79154667"/>
      <w:bookmarkStart w:id="87" w:name="_Toc92377133"/>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85"/>
      <w:bookmarkEnd w:id="86"/>
      <w:bookmarkEnd w:id="87"/>
    </w:p>
    <w:bookmarkEnd w:id="84"/>
    <w:p>
      <w:pPr>
        <w:spacing w:line="360" w:lineRule="auto"/>
        <w:ind w:firstLine="420" w:firstLineChars="200"/>
      </w:pP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本产品设置预约申购期，具体的预约申购期时间以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Ansi="宋体"/>
          <w:bCs/>
          <w:color w:val="auto"/>
          <w:sz w:val="18"/>
          <w:szCs w:val="18"/>
        </w:rPr>
        <w:t>投资者</w:t>
      </w:r>
      <w:r>
        <w:rPr>
          <w:rFonts w:hint="eastAsia" w:hAnsi="宋体"/>
          <w:bCs/>
          <w:color w:val="auto"/>
          <w:sz w:val="18"/>
          <w:szCs w:val="18"/>
        </w:rPr>
        <w:t>可在</w:t>
      </w:r>
      <w:r>
        <w:rPr>
          <w:rFonts w:hint="eastAsia" w:asciiTheme="majorEastAsia" w:hAnsiTheme="majorEastAsia" w:eastAsiaTheme="majorEastAsia"/>
          <w:bCs/>
          <w:color w:val="auto"/>
          <w:sz w:val="18"/>
          <w:szCs w:val="18"/>
        </w:rPr>
        <w:t>本产品预约申购期内提出预约申购申请。</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预约申购期内产品管理人可受理投资者提交的预约申购申请。</w:t>
      </w:r>
      <w:r>
        <w:rPr>
          <w:rFonts w:hint="eastAsia" w:asciiTheme="majorEastAsia" w:hAnsiTheme="majorEastAsia" w:eastAsiaTheme="majorEastAsia"/>
          <w:color w:val="auto"/>
          <w:sz w:val="18"/>
          <w:szCs w:val="18"/>
        </w:rPr>
        <w:t>提交预约申购申请并不代表申购成功，产品管理人将在申购确认日确认投资者是否申购成功。申购是否成功以管理人的确认结果为准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申购份额=净申购金额/申购日产品份额净值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本产品设置预约赎回期，具体的预约赎回期时间以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Ansi="宋体"/>
          <w:bCs/>
          <w:color w:val="auto"/>
          <w:sz w:val="18"/>
          <w:szCs w:val="18"/>
        </w:rPr>
        <w:t>投资者</w:t>
      </w:r>
      <w:r>
        <w:rPr>
          <w:rFonts w:hint="eastAsia" w:hAnsi="宋体"/>
          <w:bCs/>
          <w:color w:val="auto"/>
          <w:sz w:val="18"/>
          <w:szCs w:val="18"/>
        </w:rPr>
        <w:t>可在</w:t>
      </w:r>
      <w:r>
        <w:rPr>
          <w:rFonts w:hint="eastAsia" w:asciiTheme="majorEastAsia" w:hAnsiTheme="majorEastAsia" w:eastAsiaTheme="majorEastAsia"/>
          <w:bCs/>
          <w:color w:val="auto"/>
          <w:sz w:val="18"/>
          <w:szCs w:val="18"/>
        </w:rPr>
        <w:t>本产品预约赎回期内提出预约赎回申请。</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预约赎回期内产品管理人可受理投资者提交的预约赎回申请。</w:t>
      </w:r>
      <w:r>
        <w:rPr>
          <w:rFonts w:hint="eastAsia" w:asciiTheme="majorEastAsia" w:hAnsiTheme="majorEastAsia" w:eastAsiaTheme="majorEastAsia"/>
          <w:color w:val="auto"/>
          <w:sz w:val="18"/>
          <w:szCs w:val="18"/>
        </w:rPr>
        <w:t>提交预约赎回申请并不代表赎回成功，产品管理人将在赎回确认日确认投资者是否赎回成功。赎回是否成功以管理人的确认结果为准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赎回总金额=赎回份额×赎回日该产品份额净值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超出部分的净预约赎回申请，但投资者可于下一预约赎回期重新进行预约赎回申请；（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在发生巨额赎回产品管理人暂停接受投资者预约赎回申请时，产品管理人将依约定发布相关公告信息。</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82"/>
    <w:p>
      <w:pPr>
        <w:pStyle w:val="2"/>
        <w:spacing w:before="0" w:after="0" w:line="360" w:lineRule="auto"/>
        <w:jc w:val="center"/>
        <w:rPr>
          <w:rFonts w:ascii="Times New Roman"/>
          <w:sz w:val="30"/>
        </w:rPr>
      </w:pPr>
      <w:bookmarkStart w:id="88" w:name="_Toc7151"/>
      <w:bookmarkStart w:id="89" w:name="_Toc3266"/>
      <w:bookmarkStart w:id="90" w:name="_Toc27226"/>
      <w:bookmarkStart w:id="91" w:name="_Toc29948"/>
      <w:bookmarkStart w:id="92" w:name="_Toc22074"/>
      <w:bookmarkStart w:id="93" w:name="_Toc27189"/>
      <w:bookmarkStart w:id="94" w:name="_Toc74065741"/>
      <w:bookmarkStart w:id="95" w:name="_Toc6714"/>
      <w:bookmarkStart w:id="96" w:name="_Toc90742390"/>
      <w:bookmarkStart w:id="97" w:name="_Toc90742688"/>
      <w:bookmarkStart w:id="98" w:name="_Toc90742321"/>
      <w:bookmarkStart w:id="99" w:name="_Toc29784"/>
      <w:bookmarkStart w:id="100" w:name="_Toc15203"/>
      <w:bookmarkStart w:id="101" w:name="_Toc24722"/>
      <w:bookmarkStart w:id="102" w:name="_Toc16265"/>
      <w:bookmarkStart w:id="103" w:name="_Toc79154668"/>
      <w:bookmarkStart w:id="104" w:name="_Toc92377134"/>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在严格控制组合风险的前提下，通过不断优化组合，力争实现超越业绩比较基准的收益。</w:t>
      </w:r>
    </w:p>
    <w:p>
      <w:pPr>
        <w:pStyle w:val="43"/>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（1）银行存款、债券逆回购、货币基金等货币市场工具及其它银行间和交易所资金融通工具；</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（3）符合监管要求的债权类资产。</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（4）以套期保值为目的的国债期货、利率互换、</w:t>
      </w:r>
      <w:r>
        <w:rPr>
          <w:rFonts w:hint="eastAsia" w:asciiTheme="majorEastAsia" w:hAnsiTheme="majorEastAsia" w:eastAsiaTheme="majorEastAsia"/>
          <w:bCs/>
          <w:color w:val="000000" w:themeColor="text1"/>
          <w:sz w:val="18"/>
          <w:szCs w:val="18"/>
        </w:rPr>
        <w:t>信用风险缓释工具、</w:t>
      </w:r>
      <w:r>
        <w:rPr>
          <w:rFonts w:hint="eastAsia" w:asciiTheme="majorEastAsia" w:hAnsiTheme="majorEastAsia" w:eastAsiaTheme="majorEastAsia"/>
          <w:bCs/>
          <w:sz w:val="18"/>
          <w:szCs w:val="18"/>
        </w:rPr>
        <w:t>债券借贷。</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投资于上述资产的资产管理产品，包括资金信托，证券公司、证券公司子公司、基金管理公司、基金管理子公司、期货公司、期货公司子公司、保险资产管理机构、金融资产投资公司发行的资产管理产品等（投资于上述资产的资产管理产品的管理人可以聘请符合法律法规规定的投资顾问）。</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本产品投资于固定收益类资产的比例不低于产品总资产的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符合监管要求的非标准化债权类资产低于产品总资产的50%。</w:t>
      </w:r>
    </w:p>
    <w:p>
      <w:pPr>
        <w:pStyle w:val="43"/>
        <w:spacing w:line="360" w:lineRule="auto"/>
        <w:ind w:firstLine="423" w:firstLineChars="235"/>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kern w:val="2"/>
          <w:sz w:val="18"/>
          <w:szCs w:val="18"/>
        </w:rPr>
        <w:t>（3）</w:t>
      </w:r>
      <w:r>
        <w:rPr>
          <w:rFonts w:hint="eastAsia" w:asciiTheme="majorEastAsia" w:hAnsiTheme="majorEastAsia" w:eastAsiaTheme="majorEastAsia"/>
          <w:bCs/>
          <w:sz w:val="18"/>
          <w:szCs w:val="18"/>
        </w:rPr>
        <w:t>国债期货、利率互换、信用风险缓释工具等衍生品</w:t>
      </w:r>
      <w:r>
        <w:rPr>
          <w:rFonts w:hint="eastAsia" w:asciiTheme="majorEastAsia" w:hAnsiTheme="majorEastAsia" w:eastAsiaTheme="majorEastAsia"/>
          <w:bCs/>
          <w:color w:val="000000" w:themeColor="text1"/>
          <w:kern w:val="2"/>
          <w:sz w:val="18"/>
          <w:szCs w:val="18"/>
        </w:rPr>
        <w:t>占产品总资产比例低于20%。</w:t>
      </w:r>
    </w:p>
    <w:p>
      <w:pPr>
        <w:autoSpaceDE w:val="0"/>
        <w:autoSpaceDN w:val="0"/>
        <w:adjustRightInd w:val="0"/>
        <w:spacing w:line="360" w:lineRule="auto"/>
        <w:ind w:firstLine="361" w:firstLineChars="200"/>
        <w:jc w:val="left"/>
      </w:pPr>
      <w:r>
        <w:rPr>
          <w:rFonts w:hint="eastAsia" w:asciiTheme="majorEastAsia" w:hAnsiTheme="majorEastAsia" w:eastAsiaTheme="majorEastAsia"/>
          <w:b/>
          <w:sz w:val="18"/>
          <w:szCs w:val="18"/>
        </w:rPr>
        <w:t>注：本产品可能投资不存在活跃交易市场，并且需要采用估值技术确定公允价值的资产，且投资上述资产的比例达到理财产品净资产50%以上。</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.如果法律法规对本协议约定投资组合比例限制进行变更的，以变更后的规定为准。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43"/>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43"/>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本</w:t>
      </w:r>
      <w:r>
        <w:rPr>
          <w:rFonts w:hint="eastAsia" w:asciiTheme="majorEastAsia" w:hAnsiTheme="majorEastAsia" w:eastAsiaTheme="majorEastAsia"/>
          <w:color w:val="auto"/>
          <w:sz w:val="18"/>
          <w:szCs w:val="18"/>
        </w:rPr>
        <w:t>产品投资单只证券或者单只公募证券投资基金的市值不得超过该理财产品净资产的</w:t>
      </w:r>
      <w:r>
        <w:rPr>
          <w:rFonts w:asciiTheme="majorEastAsia" w:hAnsiTheme="majorEastAsia" w:eastAsiaTheme="majorEastAsia"/>
          <w:color w:val="auto"/>
          <w:sz w:val="18"/>
          <w:szCs w:val="18"/>
        </w:rPr>
        <w:t>10%</w:t>
      </w:r>
      <w:r>
        <w:rPr>
          <w:rFonts w:hint="eastAsia" w:asciiTheme="majorEastAsia" w:hAnsiTheme="majorEastAsia" w:eastAsiaTheme="majorEastAsia"/>
          <w:color w:val="auto"/>
          <w:sz w:val="18"/>
          <w:szCs w:val="18"/>
        </w:rPr>
        <w:t>。</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（2）本产品管理人全部公募理财产品持有单只证券或单只公募证券投资基金的市值，不得超过该证券市值或该公募证券投资基金市值的30%。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（3）本产品管理人全部理财产品持有单一上市公司发行的股票，不得超过该上市公司可流通股票的30%。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（4）本产品管理人全部开放式公募理财产品投资单一上市公司发行的股票不得超过该上市公司可流通股票的15%。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每只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每日确认且需当日支付的净赎回申请不超过前一工作日产品7个工作日可变现资产的可变现价值，银保监会另有规定的除外。在开放日前一工作日内，本产品7个工作日可变现资产的可变现价值应当不低于该产品资产净值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（9）本产品投资资产组合久期不超过【5】年。</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（10）本产品投资的各类债券主体（发行人或担保人）或债项评级达到AA级（含）以上。</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w:t>
      </w:r>
      <w:r>
        <w:rPr>
          <w:rFonts w:asciiTheme="majorEastAsia" w:hAnsiTheme="majorEastAsia" w:eastAsiaTheme="majorEastAsia"/>
          <w:bCs/>
          <w:sz w:val="18"/>
          <w:szCs w:val="18"/>
        </w:rPr>
        <w:t>10个交易日内调整至符合要求，监管机构规定的特殊情形除外。本</w:t>
      </w:r>
      <w:r>
        <w:rPr>
          <w:rFonts w:hint="eastAsia" w:asciiTheme="majorEastAsia" w:hAnsiTheme="majorEastAsia" w:eastAsiaTheme="majorEastAsia"/>
          <w:bCs/>
          <w:kern w:val="0"/>
          <w:sz w:val="18"/>
          <w:szCs w:val="18"/>
        </w:rPr>
        <w:t>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通过对经济基本面、企业盈利、无风险利率水平、资金面等因素进行定性和定量分析，根据产品的业绩目标和回撤目标制定各个阶段产品股债投资比例。</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将密切关注股票、债券以及货币市场的运行状况与风险收益特征，综合分析宏观经济基本面、政策面、流动性、估值与供求等因素，判断金融市场运行趋势和不同资产类别的相对投资价值，对各大类资产的风险收益特征进行评估，在符合本产品相关投资比例规定的前提下，确定各类属资产的配置比例，并依据各因素的动态变化进行及时调整。</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w:t>
      </w:r>
      <w:r>
        <w:rPr>
          <w:rFonts w:hint="eastAsia" w:asciiTheme="majorEastAsia" w:hAnsiTheme="majorEastAsia" w:eastAsiaTheme="majorEastAsia"/>
          <w:bCs/>
          <w:sz w:val="18"/>
          <w:szCs w:val="18"/>
        </w:rPr>
        <w:t xml:space="preserve">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产品管理人不设置业绩比较基准。</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sz w:val="18"/>
          <w:szCs w:val="18"/>
        </w:rPr>
        <w:t>■</w:t>
      </w:r>
      <w:r>
        <w:rPr>
          <w:rFonts w:hint="eastAsia" w:asciiTheme="majorEastAsia" w:hAnsiTheme="majorEastAsia" w:eastAsiaTheme="majorEastAsia"/>
          <w:kern w:val="0"/>
          <w:sz w:val="18"/>
          <w:szCs w:val="18"/>
        </w:rPr>
        <w:t xml:space="preserve"> 产品管理人设置业绩报酬计提基准。</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产品管理人不设置业绩报酬计提基准。</w:t>
      </w:r>
    </w:p>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105" w:name="_Toc18526"/>
      <w:bookmarkStart w:id="106" w:name="_Toc26986"/>
      <w:bookmarkStart w:id="107" w:name="_Toc17912"/>
      <w:bookmarkStart w:id="108" w:name="_Toc92377135"/>
      <w:bookmarkStart w:id="109" w:name="_Toc4741"/>
      <w:bookmarkStart w:id="110" w:name="_Toc18797"/>
      <w:bookmarkStart w:id="111" w:name="_Toc27357"/>
      <w:bookmarkStart w:id="112" w:name="_Toc14893"/>
      <w:bookmarkStart w:id="113" w:name="_Toc139991735"/>
      <w:bookmarkStart w:id="114" w:name="_Toc74065742"/>
      <w:bookmarkStart w:id="115" w:name="_Toc21988"/>
      <w:bookmarkStart w:id="116" w:name="_Toc7848"/>
      <w:bookmarkStart w:id="117" w:name="_Toc79154669"/>
      <w:bookmarkStart w:id="118" w:name="_Toc18329"/>
      <w:bookmarkStart w:id="119" w:name="_Toc141703885"/>
      <w:bookmarkStart w:id="120" w:name="_Toc1823"/>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pPr>
        <w:pStyle w:val="43"/>
        <w:spacing w:line="360" w:lineRule="auto"/>
        <w:ind w:firstLine="361" w:firstLineChars="200"/>
        <w:rPr>
          <w:rFonts w:asciiTheme="majorEastAsia" w:hAnsiTheme="majorEastAsia" w:eastAsiaTheme="majorEastAsia"/>
          <w:b/>
          <w:color w:val="auto"/>
          <w:sz w:val="18"/>
          <w:szCs w:val="18"/>
        </w:rPr>
      </w:pPr>
      <w:bookmarkStart w:id="121" w:name="_Hlk490214295"/>
      <w:r>
        <w:rPr>
          <w:rFonts w:hint="eastAsia" w:asciiTheme="majorEastAsia" w:hAnsiTheme="majorEastAsia" w:eastAsiaTheme="majorEastAsia"/>
          <w:b/>
          <w:color w:val="auto"/>
          <w:sz w:val="18"/>
          <w:szCs w:val="18"/>
        </w:rPr>
        <w:t>（一）理财产品的资产的保管和处分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21"/>
    <w:p>
      <w:pPr>
        <w:pStyle w:val="2"/>
        <w:spacing w:before="0" w:after="0" w:line="360" w:lineRule="auto"/>
        <w:jc w:val="center"/>
        <w:rPr>
          <w:rFonts w:ascii="Times New Roman"/>
          <w:sz w:val="28"/>
          <w:szCs w:val="28"/>
        </w:rPr>
      </w:pPr>
      <w:bookmarkStart w:id="122" w:name="_Toc10162"/>
      <w:bookmarkStart w:id="123" w:name="_Toc83391971"/>
      <w:bookmarkStart w:id="124" w:name="_Toc92377136"/>
      <w:bookmarkStart w:id="125" w:name="_Toc48649707"/>
      <w:bookmarkStart w:id="126" w:name="_Toc1270"/>
      <w:bookmarkStart w:id="127" w:name="_Toc610"/>
      <w:bookmarkStart w:id="128" w:name="_Toc141703886"/>
      <w:bookmarkStart w:id="129" w:name="_Toc74065743"/>
      <w:bookmarkStart w:id="130" w:name="_Toc10463"/>
      <w:bookmarkStart w:id="131" w:name="_Toc23261"/>
      <w:bookmarkStart w:id="132" w:name="_Toc79154670"/>
      <w:bookmarkStart w:id="133" w:name="_Toc23822"/>
      <w:bookmarkStart w:id="134" w:name="_Toc17244"/>
      <w:bookmarkStart w:id="135" w:name="_Toc98560352"/>
      <w:bookmarkStart w:id="136" w:name="_Toc123051452"/>
      <w:bookmarkStart w:id="137" w:name="_Toc1427"/>
      <w:bookmarkStart w:id="138" w:name="_Toc123102453"/>
      <w:bookmarkStart w:id="139" w:name="_Toc79392606"/>
      <w:bookmarkStart w:id="140" w:name="_Toc7920"/>
      <w:bookmarkStart w:id="141" w:name="_Toc4003"/>
      <w:bookmarkStart w:id="142" w:name="_Toc20733"/>
      <w:bookmarkStart w:id="143" w:name="_Toc123112234"/>
      <w:bookmarkStart w:id="144" w:name="_Toc139991736"/>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122"/>
      <w:bookmarkEnd w:id="123"/>
      <w:bookmarkEnd w:id="124"/>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，每周进行一次估值。如遇产品</w:t>
      </w:r>
      <w:r>
        <w:rPr>
          <w:rFonts w:cs="Times New Roman" w:asciiTheme="minorEastAsia" w:hAnsiTheme="minorEastAsia" w:eastAsiaTheme="minorEastAsia"/>
          <w:sz w:val="18"/>
          <w:szCs w:val="18"/>
        </w:rPr>
        <w:t>申购</w:t>
      </w:r>
      <w:r>
        <w:rPr>
          <w:rFonts w:hint="eastAsia" w:cs="Times New Roman" w:asciiTheme="minorEastAsia" w:hAnsiTheme="minorEastAsia" w:eastAsiaTheme="minorEastAsia"/>
          <w:sz w:val="18"/>
          <w:szCs w:val="18"/>
        </w:rPr>
        <w:t>日</w:t>
      </w:r>
      <w:r>
        <w:rPr>
          <w:rFonts w:cs="Times New Roman" w:asciiTheme="minorEastAsia" w:hAnsiTheme="minorEastAsia" w:eastAsiaTheme="minorEastAsia"/>
          <w:sz w:val="18"/>
          <w:szCs w:val="18"/>
        </w:rPr>
        <w:t>/赎回</w:t>
      </w:r>
      <w:r>
        <w:rPr>
          <w:rFonts w:hint="eastAsia" w:cs="Times New Roman" w:asciiTheme="minorEastAsia" w:hAnsiTheme="minorEastAsia" w:eastAsiaTheme="minorEastAsia"/>
          <w:sz w:val="18"/>
          <w:szCs w:val="18"/>
        </w:rPr>
        <w:t>日、季度</w:t>
      </w:r>
      <w:r>
        <w:rPr>
          <w:rFonts w:cs="Times New Roman" w:asciiTheme="minorEastAsia" w:hAnsiTheme="minorEastAsia" w:eastAsiaTheme="minorEastAsia"/>
          <w:sz w:val="18"/>
          <w:szCs w:val="18"/>
        </w:rPr>
        <w:t>、半年度、年度</w:t>
      </w:r>
      <w:r>
        <w:rPr>
          <w:rFonts w:hint="eastAsia" w:cs="Times New Roman" w:asciiTheme="minorEastAsia" w:hAnsiTheme="minorEastAsia" w:eastAsiaTheme="minorEastAsia"/>
          <w:sz w:val="18"/>
          <w:szCs w:val="18"/>
        </w:rPr>
        <w:t>末等时间节点管理</w:t>
      </w:r>
      <w:r>
        <w:rPr>
          <w:rFonts w:cs="Times New Roman" w:asciiTheme="minorEastAsia" w:hAnsiTheme="minorEastAsia" w:eastAsiaTheme="minorEastAsia"/>
          <w:sz w:val="18"/>
          <w:szCs w:val="18"/>
        </w:rPr>
        <w:t>人将</w:t>
      </w:r>
      <w:r>
        <w:rPr>
          <w:rFonts w:hint="eastAsia" w:cs="Times New Roman" w:asciiTheme="minorEastAsia" w:hAnsiTheme="minorEastAsia" w:eastAsiaTheme="minorEastAsia"/>
          <w:sz w:val="18"/>
          <w:szCs w:val="18"/>
        </w:rPr>
        <w:t>增加估值日</w:t>
      </w:r>
      <w:r>
        <w:rPr>
          <w:rFonts w:hint="eastAsia" w:asciiTheme="minorEastAsia" w:hAnsiTheme="minorEastAsia" w:eastAsiaTheme="minorEastAsia"/>
          <w:color w:val="2E3033"/>
          <w:sz w:val="18"/>
          <w:szCs w:val="18"/>
        </w:rPr>
        <w:t>。</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43"/>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43"/>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43"/>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43"/>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43"/>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43"/>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Pr>
        <w:pStyle w:val="2"/>
        <w:spacing w:before="0" w:after="0" w:line="360" w:lineRule="auto"/>
        <w:ind w:left="60" w:firstLine="10"/>
        <w:jc w:val="center"/>
        <w:rPr>
          <w:rFonts w:ascii="Times New Roman"/>
          <w:sz w:val="30"/>
        </w:rPr>
      </w:pPr>
      <w:bookmarkStart w:id="145" w:name="_Hlt70481650"/>
      <w:bookmarkEnd w:id="145"/>
      <w:bookmarkStart w:id="146" w:name="_Toc123102454"/>
      <w:bookmarkStart w:id="147" w:name="_Toc31653"/>
      <w:bookmarkStart w:id="148" w:name="_Toc74065744"/>
      <w:bookmarkStart w:id="149" w:name="_Toc123112235"/>
      <w:bookmarkStart w:id="150" w:name="_Toc26207"/>
      <w:bookmarkStart w:id="151" w:name="_Toc139991737"/>
      <w:bookmarkStart w:id="152" w:name="_Toc12245"/>
      <w:bookmarkStart w:id="153" w:name="_Toc92377137"/>
      <w:bookmarkStart w:id="154" w:name="_Toc123051453"/>
      <w:bookmarkStart w:id="155" w:name="_Toc31644"/>
      <w:bookmarkStart w:id="156" w:name="_Toc15143"/>
      <w:bookmarkStart w:id="157" w:name="_Toc6405"/>
      <w:bookmarkStart w:id="158" w:name="_Toc14835"/>
      <w:bookmarkStart w:id="159" w:name="_Toc3138"/>
      <w:bookmarkStart w:id="160" w:name="_Toc79154671"/>
      <w:bookmarkStart w:id="161" w:name="_Toc98560353"/>
      <w:bookmarkStart w:id="162" w:name="_Toc29251"/>
      <w:bookmarkStart w:id="163" w:name="_Toc3601"/>
      <w:bookmarkStart w:id="164" w:name="_Toc31235"/>
      <w:bookmarkStart w:id="165" w:name="_Toc141703887"/>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Start w:id="166" w:name="_Hlt55355235"/>
      <w:bookmarkEnd w:id="166"/>
      <w:bookmarkStart w:id="167" w:name="_Toc79392580"/>
      <w:bookmarkStart w:id="168" w:name="_Toc57530239"/>
      <w:bookmarkStart w:id="169" w:name="_Toc523711668"/>
      <w:bookmarkStart w:id="170" w:name="_Toc15118234"/>
    </w:p>
    <w:p>
      <w:pPr>
        <w:pStyle w:val="43"/>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43"/>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43"/>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43"/>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43"/>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43"/>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43"/>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43"/>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43"/>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43"/>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43"/>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43"/>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43"/>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w:t>
      </w:r>
      <w:r>
        <w:rPr>
          <w:rFonts w:hint="eastAsia" w:hAnsi="宋体"/>
          <w:color w:val="auto"/>
          <w:sz w:val="18"/>
          <w:szCs w:val="18"/>
        </w:rPr>
        <w:t>具体的理财利益分配以实际情况为准。</w:t>
      </w:r>
    </w:p>
    <w:p>
      <w:pPr>
        <w:widowControl/>
        <w:spacing w:line="360" w:lineRule="auto"/>
        <w:jc w:val="left"/>
        <w:rPr>
          <w:rFonts w:ascii="宋体" w:hAnsi="宋体"/>
          <w:kern w:val="0"/>
          <w:sz w:val="18"/>
          <w:szCs w:val="18"/>
        </w:rPr>
      </w:pPr>
      <w:r>
        <w:rPr>
          <w:rFonts w:hAnsi="宋体"/>
          <w:sz w:val="18"/>
          <w:szCs w:val="18"/>
        </w:rPr>
        <w:br w:type="page"/>
      </w:r>
    </w:p>
    <w:bookmarkEnd w:id="167"/>
    <w:bookmarkEnd w:id="168"/>
    <w:bookmarkEnd w:id="169"/>
    <w:bookmarkEnd w:id="170"/>
    <w:p>
      <w:pPr>
        <w:pStyle w:val="2"/>
        <w:spacing w:before="0" w:after="0" w:line="360" w:lineRule="auto"/>
        <w:jc w:val="center"/>
        <w:rPr>
          <w:rFonts w:ascii="Times New Roman"/>
          <w:sz w:val="30"/>
        </w:rPr>
      </w:pPr>
      <w:bookmarkStart w:id="171" w:name="_Hlt88897298"/>
      <w:bookmarkEnd w:id="171"/>
      <w:bookmarkStart w:id="172" w:name="_Hlt88825574"/>
      <w:bookmarkEnd w:id="172"/>
      <w:bookmarkStart w:id="173" w:name="_Toc18567"/>
      <w:bookmarkStart w:id="174" w:name="_Toc9706"/>
      <w:bookmarkStart w:id="175" w:name="_Toc3771"/>
      <w:bookmarkStart w:id="176" w:name="_Toc11030"/>
      <w:bookmarkStart w:id="177" w:name="_Toc123051454"/>
      <w:bookmarkStart w:id="178" w:name="_Toc92377138"/>
      <w:bookmarkStart w:id="179" w:name="_Toc98560354"/>
      <w:bookmarkStart w:id="180" w:name="_Toc17110"/>
      <w:bookmarkStart w:id="181" w:name="_Toc10650"/>
      <w:bookmarkStart w:id="182" w:name="_Toc79392583"/>
      <w:bookmarkStart w:id="183" w:name="_Toc74065745"/>
      <w:bookmarkStart w:id="184" w:name="_Toc3321"/>
      <w:bookmarkStart w:id="185" w:name="_Toc7058"/>
      <w:bookmarkStart w:id="186" w:name="_Toc123102455"/>
      <w:bookmarkStart w:id="187" w:name="_Toc4559"/>
      <w:bookmarkStart w:id="188" w:name="_Toc79154672"/>
      <w:bookmarkStart w:id="189" w:name="_Toc25783"/>
      <w:bookmarkStart w:id="190" w:name="_Toc6447"/>
      <w:bookmarkStart w:id="191" w:name="_Toc123112236"/>
      <w:bookmarkStart w:id="192" w:name="_Toc139991738"/>
      <w:bookmarkStart w:id="193" w:name="_Toc141703888"/>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43"/>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一定比例作为超额业绩报酬。由此造成超额业绩报酬计提日产品份额净值调整的，以调整后的数值为准进行利益分配。</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超额业绩报酬的具体比例数值以《产品说明书》“第二条 理财产品基本情况”为准。</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1）收取超额业绩报酬的原则：</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①按投资者每份产品份额分别计算年化收益率并计提超额业绩报酬；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③在每个赎回日提取超额业绩报酬的，超额业绩报酬从理财资金中扣除；在产品终止日提取超额业绩报酬的，超额业绩报酬从清算资金中扣除。</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2）超额业绩报酬计提方法</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①超额业绩报酬计提日</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每份产品份额超额业绩报酬计提日为每个赎回日或产品终止日。</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②超额业绩报酬的计算</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产品管理人对每份产品份额年化收益率（R）超过当期业绩报酬计提基准的部分，按比例（N）以及该份产品份额当期投资周期天数（D）提取超额业绩报酬，计算方法如下：</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当R≤当期业绩报酬计提基准，超额业绩报酬=0；</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当R＞当期业绩报酬计提基准，超额业绩报酬=投资者持有的产品份额数量×产品成立日或当期投资周期产品份额申购日的产品份额净值×（R-当期业绩报酬计提基准）×N×D/365；</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若该投资周期期间，超额业绩报酬计提规则有所调整，以该投资周期期间的每个计提规则分别计算整个份额投资周期期间应收取的超额业绩报酬数值，以较小的数值来收取超额业绩报酬。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43"/>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43"/>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43"/>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94" w:name="_Toc3963"/>
      <w:bookmarkStart w:id="195" w:name="_Toc1745"/>
      <w:r>
        <w:br w:type="page"/>
      </w:r>
      <w:bookmarkStart w:id="196" w:name="_Toc92377139"/>
      <w:bookmarkStart w:id="197" w:name="_Toc4606"/>
      <w:bookmarkStart w:id="198" w:name="_Toc16164"/>
      <w:bookmarkStart w:id="199" w:name="_Toc31821"/>
      <w:bookmarkStart w:id="200" w:name="_Toc21735"/>
      <w:bookmarkStart w:id="201" w:name="_Toc123102456"/>
      <w:bookmarkStart w:id="202" w:name="_Toc3080"/>
      <w:bookmarkStart w:id="203" w:name="_Toc141703889"/>
      <w:bookmarkStart w:id="204" w:name="_Toc123112237"/>
      <w:bookmarkStart w:id="205" w:name="_Toc79154673"/>
      <w:bookmarkStart w:id="206" w:name="_Toc18206"/>
      <w:bookmarkStart w:id="207" w:name="_Toc74065746"/>
      <w:bookmarkStart w:id="208" w:name="_Toc123051455"/>
      <w:bookmarkStart w:id="209" w:name="_Toc139991739"/>
      <w:bookmarkStart w:id="210" w:name="_Toc98560355"/>
      <w:bookmarkStart w:id="211" w:name="_Toc3572"/>
      <w:bookmarkStart w:id="212" w:name="_Toc10398"/>
      <w:bookmarkStart w:id="213" w:name="_Toc725"/>
      <w:r>
        <w:rPr>
          <w:rFonts w:hint="eastAsia"/>
          <w:sz w:val="30"/>
        </w:rPr>
        <w:t>第十条</w:t>
      </w:r>
      <w:r>
        <w:rPr>
          <w:sz w:val="30"/>
        </w:rPr>
        <w:t xml:space="preserve">  </w:t>
      </w:r>
      <w:r>
        <w:rPr>
          <w:rFonts w:hint="eastAsia"/>
          <w:sz w:val="30"/>
        </w:rPr>
        <w:t>理财产品的终止与清算</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pPr>
        <w:spacing w:line="360" w:lineRule="auto"/>
        <w:ind w:firstLine="361" w:firstLineChars="200"/>
        <w:rPr>
          <w:rFonts w:asciiTheme="majorEastAsia" w:hAnsiTheme="majorEastAsia" w:eastAsiaTheme="majorEastAsia"/>
          <w:b/>
          <w:bCs/>
          <w:sz w:val="18"/>
          <w:szCs w:val="18"/>
        </w:rPr>
      </w:pPr>
      <w:bookmarkStart w:id="214" w:name="_Toc79392593"/>
      <w:bookmarkStart w:id="215" w:name="_Toc15118245"/>
      <w:bookmarkStart w:id="216"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bookmarkEnd w:id="214"/>
    <w:bookmarkEnd w:id="215"/>
    <w:bookmarkEnd w:id="216"/>
    <w:p>
      <w:pPr>
        <w:pStyle w:val="2"/>
        <w:spacing w:before="0" w:after="0" w:line="360" w:lineRule="auto"/>
        <w:jc w:val="center"/>
        <w:rPr>
          <w:rFonts w:ascii="Times New Roman"/>
          <w:sz w:val="18"/>
          <w:szCs w:val="18"/>
        </w:rPr>
      </w:pPr>
      <w:r>
        <w:rPr>
          <w:rFonts w:ascii="Times New Roman"/>
          <w:b w:val="0"/>
          <w:bCs w:val="0"/>
          <w:kern w:val="2"/>
        </w:rPr>
        <w:br w:type="page"/>
      </w:r>
      <w:bookmarkStart w:id="217" w:name="_Toc11469"/>
      <w:bookmarkStart w:id="218" w:name="_Toc92377140"/>
      <w:bookmarkStart w:id="219" w:name="_Toc141703890"/>
      <w:bookmarkStart w:id="220" w:name="_Toc32092"/>
      <w:bookmarkStart w:id="221" w:name="_Toc17920"/>
      <w:bookmarkStart w:id="222" w:name="_Toc8791"/>
      <w:bookmarkStart w:id="223" w:name="_Toc17198"/>
      <w:bookmarkStart w:id="224" w:name="_Toc123102457"/>
      <w:bookmarkStart w:id="225" w:name="_Toc3329"/>
      <w:bookmarkStart w:id="226" w:name="_Toc739"/>
      <w:bookmarkStart w:id="227" w:name="_Toc83391975"/>
      <w:bookmarkStart w:id="228" w:name="_Toc5170"/>
      <w:bookmarkStart w:id="229" w:name="_Toc79154674"/>
      <w:bookmarkStart w:id="230" w:name="_Toc48649708"/>
      <w:bookmarkStart w:id="231" w:name="_Toc123051456"/>
      <w:bookmarkStart w:id="232" w:name="_Toc98560356"/>
      <w:bookmarkStart w:id="233" w:name="_Toc21237"/>
      <w:bookmarkStart w:id="234" w:name="_Toc74065747"/>
      <w:bookmarkStart w:id="235" w:name="_Toc29408"/>
      <w:bookmarkStart w:id="236" w:name="_Toc32584"/>
      <w:bookmarkStart w:id="237" w:name="_Toc123112238"/>
      <w:bookmarkStart w:id="238" w:name="_Toc79392622"/>
      <w:bookmarkStart w:id="239" w:name="_Toc139991740"/>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217"/>
      <w:bookmarkEnd w:id="218"/>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的产品份额净值、产品份额累计净值、业绩比较基准（如有）、业绩报酬计提基准（如有）等。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期间，每周向投资者披露一次估值日公告，估值日公告披露的内容包括估值日的产品份额净值、产品份额累计净值、业绩比较基准（如有）、</w:t>
      </w:r>
      <w:r>
        <w:rPr>
          <w:rFonts w:ascii="宋体" w:hAnsi="宋体"/>
          <w:bCs/>
          <w:sz w:val="18"/>
          <w:szCs w:val="18"/>
        </w:rPr>
        <w:t>业绩报酬计提</w:t>
      </w:r>
      <w:r>
        <w:rPr>
          <w:rFonts w:hint="eastAsia" w:ascii="宋体" w:hAnsi="宋体"/>
          <w:bCs/>
          <w:sz w:val="18"/>
          <w:szCs w:val="18"/>
        </w:rPr>
        <w:t>基准</w:t>
      </w:r>
      <w:r>
        <w:rPr>
          <w:rFonts w:ascii="宋体" w:hAnsi="宋体"/>
          <w:bCs/>
          <w:sz w:val="18"/>
          <w:szCs w:val="18"/>
        </w:rPr>
        <w:t>（</w:t>
      </w:r>
      <w:r>
        <w:rPr>
          <w:rFonts w:hint="eastAsia" w:ascii="宋体" w:hAnsi="宋体"/>
          <w:bCs/>
          <w:sz w:val="18"/>
          <w:szCs w:val="18"/>
        </w:rPr>
        <w:t>如有</w:t>
      </w:r>
      <w:r>
        <w:rPr>
          <w:rFonts w:ascii="宋体" w:hAnsi="宋体"/>
          <w:bCs/>
          <w:sz w:val="18"/>
          <w:szCs w:val="18"/>
        </w:rPr>
        <w:t>）</w:t>
      </w:r>
      <w:r>
        <w:rPr>
          <w:rFonts w:hint="eastAsia" w:ascii="宋体" w:hAnsi="宋体"/>
          <w:bCs/>
          <w:sz w:val="18"/>
          <w:szCs w:val="18"/>
        </w:rPr>
        <w:t>等。如遇法定节假日顺延。此外，如遇其他特殊情况，以产品管理人信息披露为准。</w:t>
      </w:r>
      <w:r>
        <w:rPr>
          <w:rFonts w:ascii="宋体" w:hAnsi="宋体"/>
          <w:bCs/>
          <w:sz w:val="18"/>
          <w:szCs w:val="18"/>
        </w:rPr>
        <w:t xml:space="preserve"> </w:t>
      </w:r>
    </w:p>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特别提示：在一个完整投资周期结束前，管理人有权通过更新产品说明书中的业绩比较基准（如有）、业绩报酬计提基准（如有），以明确列示下一个完整投资周期对应的业绩比较基准（如有）、业绩报酬计提基准（如有），若相关基准数值发生变更的，不再另行发布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bCs/>
          <w:sz w:val="24"/>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Pr>
          <w:sz w:val="24"/>
        </w:rPr>
        <w:br w:type="page"/>
      </w:r>
    </w:p>
    <w:p>
      <w:pPr>
        <w:pStyle w:val="2"/>
        <w:spacing w:before="0" w:after="0" w:line="360" w:lineRule="auto"/>
        <w:jc w:val="center"/>
        <w:rPr>
          <w:rFonts w:ascii="Times New Roman"/>
          <w:b w:val="0"/>
          <w:sz w:val="30"/>
        </w:rPr>
      </w:pPr>
      <w:bookmarkStart w:id="240" w:name="_Toc92377141"/>
      <w:bookmarkStart w:id="241" w:name="_Toc24766"/>
      <w:bookmarkStart w:id="242"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40"/>
      <w:bookmarkEnd w:id="241"/>
      <w:bookmarkEnd w:id="242"/>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bCs/>
          <w:sz w:val="18"/>
          <w:szCs w:val="18"/>
        </w:rPr>
      </w:pPr>
      <w:r>
        <w:rPr>
          <w:rFonts w:hint="eastAsia" w:ascii="宋体" w:hAnsi="宋体"/>
          <w:bCs/>
          <w:sz w:val="18"/>
          <w:szCs w:val="18"/>
        </w:rPr>
        <w:t>1.拟投资市场和资产的风险：</w:t>
      </w:r>
    </w:p>
    <w:p>
      <w:pPr>
        <w:spacing w:line="360" w:lineRule="auto"/>
        <w:ind w:firstLine="360" w:firstLineChars="200"/>
        <w:rPr>
          <w:rFonts w:ascii="宋体" w:hAnsi="宋体"/>
          <w:bCs/>
          <w:sz w:val="18"/>
          <w:szCs w:val="18"/>
        </w:rPr>
      </w:pPr>
      <w:r>
        <w:rPr>
          <w:rFonts w:hint="eastAsia" w:ascii="宋体" w:hAnsi="宋体"/>
          <w:bCs/>
          <w:sz w:val="18"/>
          <w:szCs w:val="18"/>
        </w:rPr>
        <w:t>（1）投资固定收益类资产的风险</w:t>
      </w:r>
    </w:p>
    <w:p>
      <w:pPr>
        <w:spacing w:line="360" w:lineRule="auto"/>
        <w:ind w:firstLine="360" w:firstLineChars="200"/>
        <w:rPr>
          <w:rFonts w:ascii="宋体" w:hAnsi="宋体"/>
          <w:bCs/>
          <w:sz w:val="18"/>
          <w:szCs w:val="18"/>
        </w:rPr>
      </w:pPr>
      <w:r>
        <w:rPr>
          <w:rFonts w:hint="eastAsia" w:ascii="宋体" w:hAnsi="宋体"/>
          <w:bCs/>
          <w:sz w:val="18"/>
          <w:szCs w:val="18"/>
        </w:rPr>
        <w:t>1）投资标准化债权类资产的风险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2）投资非标准化债权类资产的风险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（2）投资权益类资产的风险 </w:t>
      </w:r>
    </w:p>
    <w:p>
      <w:pPr>
        <w:spacing w:line="360" w:lineRule="auto"/>
        <w:ind w:firstLine="360" w:firstLineChars="200"/>
        <w:rPr>
          <w:rFonts w:ascii="宋体" w:hAnsi="宋体"/>
          <w:bCs/>
          <w:sz w:val="18"/>
          <w:szCs w:val="18"/>
        </w:rPr>
      </w:pPr>
      <w:r>
        <w:rPr>
          <w:rFonts w:hint="eastAsia" w:ascii="宋体" w:hAnsi="宋体"/>
          <w:bCs/>
          <w:sz w:val="18"/>
          <w:szCs w:val="18"/>
        </w:rPr>
        <w:t>1）投资股票类资产的风险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股票类资产时可能面临以下风险：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2）投资股权类资产的风险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未上市股权类资产时可能面临以下风险：国家政策、经济周期、行业政策等因素可能发生变化导致的市场风险；因市场、技术、竞争、管理、财务等导致公司盈利发生变化，其股权价值可能下跌，影响投资者收益；因股权未上市或存在相关限制股权转让的协议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（3）投资商品和金融衍生品类资产的风险 </w:t>
      </w:r>
    </w:p>
    <w:p>
      <w:pPr>
        <w:spacing w:line="360" w:lineRule="auto"/>
        <w:ind w:firstLine="360" w:firstLineChars="200"/>
        <w:rPr>
          <w:rFonts w:ascii="宋体" w:hAnsi="宋体"/>
          <w:bCs/>
          <w:sz w:val="18"/>
          <w:szCs w:val="18"/>
        </w:rPr>
      </w:pPr>
      <w:r>
        <w:rPr>
          <w:rFonts w:hint="eastAsia" w:ascii="宋体" w:hAnsi="宋体"/>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1" w:firstLineChars="200"/>
        <w:rPr>
          <w:rFonts w:ascii="宋体" w:hAnsi="宋体"/>
          <w:b/>
          <w:sz w:val="18"/>
          <w:szCs w:val="18"/>
        </w:rPr>
      </w:pPr>
      <w:r>
        <w:rPr>
          <w:rFonts w:hint="eastAsia" w:ascii="宋体" w:hAnsi="宋体"/>
          <w:b/>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ascii="宋体" w:hAnsi="宋体"/>
          <w:sz w:val="18"/>
          <w:szCs w:val="18"/>
        </w:rPr>
        <w:t>5</w:t>
      </w:r>
      <w:r>
        <w:rPr>
          <w:rFonts w:hint="eastAsia" w:ascii="宋体" w:hAnsi="宋体"/>
          <w:sz w:val="18"/>
          <w:szCs w:val="18"/>
        </w:rPr>
        <w:t>.</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ascii="黑体" w:hAnsi="黑体" w:eastAsia="黑体"/>
          <w:sz w:val="18"/>
          <w:szCs w:val="18"/>
        </w:rPr>
        <w:t>8.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bCs/>
          <w:sz w:val="18"/>
          <w:szCs w:val="18"/>
        </w:rPr>
      </w:pPr>
      <w:r>
        <w:rPr>
          <w:rFonts w:ascii="宋体" w:hAnsi="宋体"/>
          <w:sz w:val="18"/>
          <w:szCs w:val="18"/>
        </w:rPr>
        <w:t>10</w:t>
      </w:r>
      <w:r>
        <w:rPr>
          <w:rFonts w:hint="eastAsia" w:ascii="宋体" w:hAnsi="宋体"/>
          <w:sz w:val="18"/>
          <w:szCs w:val="18"/>
        </w:rPr>
        <w:t>.</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13.估值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14</w:t>
      </w:r>
      <w:r>
        <w:rPr>
          <w:rFonts w:hint="eastAsia" w:ascii="宋体" w:hAnsi="宋体"/>
          <w:sz w:val="18"/>
          <w:szCs w:val="18"/>
        </w:rPr>
        <w:t>.</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宋体" w:hAnsi="宋体"/>
          <w:sz w:val="18"/>
          <w:szCs w:val="18"/>
        </w:rPr>
      </w:pPr>
      <w:r>
        <w:rPr>
          <w:rFonts w:ascii="宋体" w:hAnsi="宋体"/>
          <w:sz w:val="18"/>
          <w:szCs w:val="18"/>
        </w:rPr>
        <w:t>15</w:t>
      </w:r>
      <w:r>
        <w:rPr>
          <w:rFonts w:hint="eastAsia" w:ascii="宋体" w:hAnsi="宋体"/>
          <w:sz w:val="18"/>
          <w:szCs w:val="18"/>
        </w:rPr>
        <w:t>.★</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16.</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17.</w:t>
      </w:r>
      <w:r>
        <w:rPr>
          <w:rFonts w:hint="eastAsia" w:ascii="黑体" w:hAnsi="黑体" w:eastAsia="黑体"/>
          <w:sz w:val="18"/>
          <w:szCs w:val="18"/>
        </w:rPr>
        <w:t xml:space="preserve"> 关联交易风险</w:t>
      </w: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1" w:firstLineChars="200"/>
        <w:jc w:val="left"/>
        <w:rPr>
          <w:rFonts w:ascii="黑体" w:hAnsi="黑体" w:eastAsia="黑体"/>
          <w:b/>
          <w:sz w:val="18"/>
          <w:szCs w:val="18"/>
        </w:rPr>
        <w:sectPr>
          <w:headerReference r:id="rId11" w:type="default"/>
          <w:footerReference r:id="rId12" w:type="default"/>
          <w:pgSz w:w="11906" w:h="16838"/>
          <w:pgMar w:top="1276" w:right="1800" w:bottom="1418" w:left="1800" w:header="567" w:footer="850" w:gutter="0"/>
          <w:pgNumType w:start="1"/>
          <w:cols w:space="425" w:num="1"/>
          <w:docGrid w:type="lines" w:linePitch="312" w:charSpace="0"/>
        </w:sectPr>
      </w:pPr>
      <w:r>
        <w:rPr>
          <w:rFonts w:hint="eastAsia" w:ascii="黑体" w:hAnsi="黑体" w:eastAsia="黑体"/>
          <w:b/>
          <w:sz w:val="18"/>
          <w:szCs w:val="18"/>
        </w:rPr>
        <w:t>（</w:t>
      </w:r>
      <w:r>
        <w:rPr>
          <w:rFonts w:ascii="黑体" w:hAnsi="黑体" w:eastAsia="黑体"/>
          <w:b/>
          <w:sz w:val="18"/>
          <w:szCs w:val="18"/>
        </w:rPr>
        <w:t>三</w:t>
      </w:r>
      <w:r>
        <w:rPr>
          <w:rFonts w:hint="eastAsia" w:ascii="黑体" w:hAnsi="黑体" w:eastAsia="黑体"/>
          <w:b/>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widowControl/>
        <w:spacing w:before="156"/>
        <w:jc w:val="center"/>
        <w:rPr>
          <w:rFonts w:ascii="黑体" w:hAnsi="黑体" w:eastAsia="黑体"/>
          <w:b/>
          <w:sz w:val="28"/>
          <w:szCs w:val="28"/>
        </w:rPr>
      </w:pPr>
      <w:r>
        <w:rPr>
          <w:rFonts w:hint="eastAsia" w:ascii="黑体" w:hAnsi="黑体" w:eastAsia="黑体"/>
          <w:b/>
          <w:sz w:val="28"/>
          <w:szCs w:val="28"/>
        </w:rPr>
        <w:t>兴银理财【天天万利宝稳利】净值型理财产品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24"/>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1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sz w:val="18"/>
                <w:szCs w:val="18"/>
              </w:rPr>
              <w:t xml:space="preserve">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w:t>
            </w:r>
            <w:r>
              <w:rPr>
                <w:rFonts w:hint="eastAsia" w:ascii="宋体" w:hAnsi="宋体"/>
                <w:sz w:val="18"/>
                <w:szCs w:val="18"/>
              </w:rPr>
              <w:t>福建省农村信用社联合社</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shd w:val="solid" w:color="FFFFFF" w:fill="FFFFFF"/>
            <w:vAlign w:val="center"/>
          </w:tcPr>
          <w:p>
            <w:pPr>
              <w:pStyle w:val="43"/>
              <w:jc w:val="both"/>
              <w:rPr>
                <w:rFonts w:hAnsi="宋体"/>
                <w:bCs/>
                <w:sz w:val="18"/>
                <w:szCs w:val="18"/>
              </w:rPr>
            </w:pP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1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1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w:t>
      </w:r>
      <w:r>
        <w:rPr>
          <w:rFonts w:ascii="宋体" w:hAnsi="宋体" w:cs="仿宋_GB2312"/>
          <w:kern w:val="0"/>
          <w:sz w:val="18"/>
          <w:szCs w:val="18"/>
        </w:rPr>
        <w:t>乙方销售性质</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直销适用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为乙方所发行的理财产品，乙方既作为理财产品的销售机构，又是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代销适用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w:t>
      </w:r>
      <w:r>
        <w:rPr>
          <w:rFonts w:hint="eastAsia" w:ascii="宋体" w:hAnsi="宋体" w:cs="仿宋_GB2312"/>
          <w:kern w:val="0"/>
          <w:sz w:val="18"/>
          <w:szCs w:val="18"/>
          <w:lang w:val="en-US" w:eastAsia="zh-CN"/>
        </w:rPr>
        <w:t>5</w:t>
      </w:r>
      <w:r>
        <w:rPr>
          <w:rFonts w:hint="eastAsia" w:ascii="宋体" w:hAnsi="宋体" w:cs="仿宋_GB2312"/>
          <w:kern w:val="0"/>
          <w:sz w:val="18"/>
          <w:szCs w:val="18"/>
        </w:rPr>
        <w:t>】个风险等级</w:t>
      </w:r>
      <w:r>
        <w:rPr>
          <w:rFonts w:ascii="宋体" w:hAnsi="宋体" w:cs="仿宋_GB2312"/>
          <w:kern w:val="0"/>
          <w:sz w:val="18"/>
          <w:szCs w:val="18"/>
        </w:rPr>
        <w:t>：</w:t>
      </w:r>
      <w:r>
        <w:rPr>
          <w:rFonts w:hint="eastAsia" w:ascii="宋体" w:hAnsi="宋体" w:cs="仿宋_GB2312"/>
          <w:kern w:val="0"/>
          <w:sz w:val="18"/>
          <w:szCs w:val="18"/>
        </w:rPr>
        <w:t>【</w:t>
      </w:r>
      <w:r>
        <w:rPr>
          <w:rFonts w:hint="eastAsia" w:ascii="宋体" w:hAnsi="宋体" w:cs="仿宋_GB2312"/>
          <w:kern w:val="0"/>
          <w:sz w:val="18"/>
          <w:szCs w:val="18"/>
          <w:lang w:val="en-US" w:eastAsia="zh-CN"/>
        </w:rPr>
        <w:t>R1（低风险）、R2（中低风险）、R3（中等风险）、R4（中高风险）、R5（高风险）</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w:t>
      </w:r>
      <w:r>
        <w:rPr>
          <w:rFonts w:hint="eastAsia" w:ascii="宋体" w:hAnsi="宋体" w:cs="仿宋_GB2312"/>
          <w:kern w:val="0"/>
          <w:sz w:val="18"/>
          <w:szCs w:val="18"/>
        </w:rPr>
        <w:t>【</w:t>
      </w:r>
      <w:r>
        <w:rPr>
          <w:rFonts w:hint="eastAsia" w:ascii="宋体" w:hAnsi="宋体" w:cs="仿宋_GB2312"/>
          <w:kern w:val="0"/>
          <w:sz w:val="18"/>
          <w:szCs w:val="18"/>
          <w:lang w:val="en-US" w:eastAsia="zh-CN"/>
        </w:rPr>
        <w:t>5</w:t>
      </w:r>
      <w:r>
        <w:rPr>
          <w:rFonts w:hint="eastAsia" w:ascii="宋体" w:hAnsi="宋体" w:cs="仿宋_GB2312"/>
          <w:kern w:val="0"/>
          <w:sz w:val="18"/>
          <w:szCs w:val="18"/>
        </w:rPr>
        <w:t>】</w:t>
      </w:r>
      <w:r>
        <w:rPr>
          <w:rFonts w:ascii="宋体" w:hAnsi="宋体" w:cs="仿宋_GB2312"/>
          <w:kern w:val="0"/>
          <w:sz w:val="18"/>
          <w:szCs w:val="18"/>
        </w:rPr>
        <w:t>个</w:t>
      </w:r>
      <w:r>
        <w:rPr>
          <w:rFonts w:hint="eastAsia" w:ascii="宋体" w:hAnsi="宋体" w:cs="仿宋_GB2312"/>
          <w:kern w:val="0"/>
          <w:sz w:val="18"/>
          <w:szCs w:val="18"/>
        </w:rPr>
        <w:t>等级：【</w:t>
      </w:r>
      <w:r>
        <w:rPr>
          <w:rFonts w:hint="eastAsia" w:ascii="宋体" w:hAnsi="宋体" w:cs="仿宋_GB2312"/>
          <w:kern w:val="0"/>
          <w:sz w:val="18"/>
          <w:szCs w:val="18"/>
          <w:lang w:val="en-US" w:eastAsia="zh-CN"/>
        </w:rPr>
        <w:t>保守型、谨慎型、稳健型、进取型、激进型</w:t>
      </w:r>
      <w:r>
        <w:rPr>
          <w:rFonts w:hint="eastAsia" w:ascii="宋体" w:hAnsi="宋体" w:cs="仿宋_GB2312"/>
          <w:kern w:val="0"/>
          <w:sz w:val="18"/>
          <w:szCs w:val="18"/>
        </w:rPr>
        <w:t>】。</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43"/>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甲方应根据风险承受能力评估结果选择与其风险承受能力相匹配的风险等级的理财产品，不得购买高于甲方风险承受能力的理财产品。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5、甲方保证投资资金来源合法且为本人有权</w:t>
      </w:r>
      <w:r>
        <w:rPr>
          <w:rFonts w:ascii="宋体" w:hAnsi="宋体" w:cs="仿宋_GB2312"/>
          <w:kern w:val="0"/>
          <w:sz w:val="18"/>
          <w:szCs w:val="18"/>
        </w:rPr>
        <w:t>处分的合法</w:t>
      </w:r>
      <w:r>
        <w:rPr>
          <w:rFonts w:hint="eastAsia" w:ascii="宋体" w:hAnsi="宋体" w:cs="仿宋_GB2312"/>
          <w:kern w:val="0"/>
          <w:sz w:val="18"/>
          <w:szCs w:val="18"/>
        </w:rPr>
        <w:t>资金，不存在使用贷款、发行债券等筹集的非自有资金投资的情况，投资行为符合法律法规及相关监管部门的规定。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9、甲方在此同意并授权乙方有权根据甲方所勾选的业务申请类型对甲方相关资金账户进行资金划扣等相关操作。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11、甲方在此确认乙方业务</w:t>
      </w:r>
      <w:r>
        <w:rPr>
          <w:rFonts w:ascii="宋体" w:hAnsi="宋体" w:cs="仿宋_GB2312"/>
          <w:kern w:val="0"/>
          <w:sz w:val="18"/>
          <w:szCs w:val="18"/>
        </w:rPr>
        <w:t>申请和办理</w:t>
      </w:r>
      <w:r>
        <w:rPr>
          <w:rFonts w:hint="eastAsia" w:ascii="宋体" w:hAnsi="宋体" w:cs="仿宋_GB2312"/>
          <w:kern w:val="0"/>
          <w:sz w:val="18"/>
          <w:szCs w:val="18"/>
        </w:rPr>
        <w:t>的系统记录以及录音、录像等</w:t>
      </w:r>
      <w:r>
        <w:rPr>
          <w:rFonts w:ascii="宋体" w:hAnsi="宋体" w:cs="仿宋_GB2312"/>
          <w:kern w:val="0"/>
          <w:sz w:val="18"/>
          <w:szCs w:val="18"/>
        </w:rPr>
        <w:t>信息</w:t>
      </w:r>
      <w:r>
        <w:rPr>
          <w:rFonts w:hint="eastAsia" w:ascii="宋体" w:hAnsi="宋体" w:cs="仿宋_GB2312"/>
          <w:kern w:val="0"/>
          <w:sz w:val="18"/>
          <w:szCs w:val="18"/>
        </w:rPr>
        <w:t>构成对甲方操作行为（包括但不限于认购</w:t>
      </w:r>
      <w:r>
        <w:rPr>
          <w:rFonts w:ascii="宋体" w:hAnsi="宋体" w:cs="仿宋_GB2312"/>
          <w:kern w:val="0"/>
          <w:sz w:val="18"/>
          <w:szCs w:val="18"/>
        </w:rPr>
        <w:t>、申购</w:t>
      </w:r>
      <w:r>
        <w:rPr>
          <w:rFonts w:hint="eastAsia" w:ascii="宋体" w:hAnsi="宋体" w:cs="仿宋_GB2312"/>
          <w:kern w:val="0"/>
          <w:sz w:val="18"/>
          <w:szCs w:val="18"/>
        </w:rPr>
        <w:t>、赎回）的终局证据，甲方同意乙方上述记录行为，并且在甲方和乙方或产品</w:t>
      </w:r>
      <w:r>
        <w:rPr>
          <w:rFonts w:ascii="宋体" w:hAnsi="宋体" w:cs="仿宋_GB2312"/>
          <w:kern w:val="0"/>
          <w:sz w:val="18"/>
          <w:szCs w:val="18"/>
        </w:rPr>
        <w:t>管理人</w:t>
      </w:r>
      <w:r>
        <w:rPr>
          <w:rFonts w:hint="eastAsia" w:ascii="宋体" w:hAnsi="宋体" w:cs="仿宋_GB2312"/>
          <w:kern w:val="0"/>
          <w:sz w:val="18"/>
          <w:szCs w:val="18"/>
        </w:rPr>
        <w:t>发生争议时可以作为合法有效的证据使用。</w:t>
      </w:r>
      <w:r>
        <w:rPr>
          <w:rFonts w:hint="eastAsia" w:ascii="黑体" w:hAnsi="黑体" w:eastAsia="黑体" w:cs="仿宋_GB2312"/>
          <w:kern w:val="0"/>
          <w:sz w:val="18"/>
          <w:szCs w:val="18"/>
        </w:rPr>
        <w:t>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hint="eastAsia" w:ascii="宋体" w:hAnsi="宋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w:t>
      </w:r>
      <w:r>
        <w:rPr>
          <w:rFonts w:hint="eastAsia" w:ascii="宋体" w:hAnsi="宋体" w:cs="仿宋_GB2312"/>
          <w:b/>
          <w:kern w:val="0"/>
          <w:sz w:val="18"/>
          <w:szCs w:val="18"/>
        </w:rPr>
        <w:t>乙方销售的理财产品的《投资</w:t>
      </w:r>
      <w:r>
        <w:rPr>
          <w:rFonts w:ascii="宋体" w:hAnsi="宋体" w:cs="仿宋_GB2312"/>
          <w:b/>
          <w:kern w:val="0"/>
          <w:sz w:val="18"/>
          <w:szCs w:val="18"/>
        </w:rPr>
        <w:t>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spacing w:line="360" w:lineRule="auto"/>
        <w:ind w:firstLine="361" w:firstLineChars="200"/>
        <w:jc w:val="left"/>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5"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056" w:hRule="atLeast"/>
        </w:trPr>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3" w:hRule="atLeast"/>
        </w:trPr>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ind w:firstLine="0" w:firstLineChars="0"/>
        <w:jc w:val="left"/>
        <w:rPr>
          <w:rFonts w:hint="eastAsia" w:ascii="宋体" w:hAnsi="宋体"/>
          <w:b/>
          <w:sz w:val="18"/>
          <w:szCs w:val="18"/>
        </w:rPr>
        <w:sectPr>
          <w:headerReference r:id="rId13" w:type="default"/>
          <w:footerReference r:id="rId14" w:type="default"/>
          <w:pgSz w:w="11906" w:h="16838"/>
          <w:pgMar w:top="1440" w:right="1800" w:bottom="1440" w:left="1800" w:header="851" w:footer="992" w:gutter="0"/>
          <w:cols w:space="425" w:num="1"/>
          <w:docGrid w:type="lines" w:linePitch="312" w:charSpace="0"/>
        </w:sect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兴银理财【天天万利宝稳利】净值型理财产品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r>
        <w:rPr>
          <w:rFonts w:hint="eastAsia" w:ascii="宋体" w:hAnsi="宋体"/>
          <w:bCs/>
          <w:sz w:val="18"/>
          <w:szCs w:val="18"/>
        </w:rPr>
        <w:t>兴业银行天天万利宝稳利2号净值型理财产品J款</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【稳利恒盈J 6个月】</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ascii="宋体" w:hAnsi="宋体"/>
          <w:bCs/>
          <w:sz w:val="18"/>
          <w:szCs w:val="18"/>
        </w:rPr>
        <w:t>Z7002020000027</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（产品管理人定义的产品风险评级为【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w:t>
      </w:r>
      <w:r>
        <w:rPr>
          <w:rFonts w:asciiTheme="majorEastAsia" w:hAnsiTheme="majorEastAsia" w:eastAsiaTheme="majorEastAsia"/>
          <w:bCs/>
          <w:color w:val="000000" w:themeColor="text1"/>
          <w:sz w:val="18"/>
          <w:szCs w:val="18"/>
        </w:rPr>
        <w:t>R2</w:t>
      </w:r>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 C1、■ C2、■ C3、■ C4、■ C5、■ C6】。</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0" w:firstLineChars="200"/>
        <w:rPr>
          <w:rFonts w:ascii="黑体" w:hAnsi="黑体" w:eastAsia="黑体"/>
          <w:sz w:val="18"/>
          <w:szCs w:val="18"/>
        </w:rPr>
      </w:pPr>
      <w:r>
        <w:rPr>
          <w:rFonts w:hint="eastAsia" w:ascii="黑体" w:hAnsi="黑体" w:eastAsia="黑体"/>
          <w:sz w:val="18"/>
          <w:szCs w:val="18"/>
        </w:rPr>
        <w:t>（一）投资者投资本产品可能面临的特定风险主要包括（但不限于）：</w:t>
      </w:r>
    </w:p>
    <w:p>
      <w:pPr>
        <w:pStyle w:val="58"/>
        <w:ind w:firstLine="448" w:firstLineChars="0"/>
        <w:rPr>
          <w:rFonts w:ascii="黑体" w:hAnsi="黑体" w:eastAsia="黑体"/>
          <w:sz w:val="18"/>
          <w:szCs w:val="18"/>
        </w:rPr>
      </w:pPr>
      <w:r>
        <w:rPr>
          <w:rFonts w:hint="eastAsia" w:ascii="黑体" w:hAnsi="黑体" w:eastAsia="黑体"/>
          <w:sz w:val="18"/>
          <w:szCs w:val="18"/>
        </w:rPr>
        <w:t>1.拟投资市场和资产的风险：</w:t>
      </w:r>
    </w:p>
    <w:p>
      <w:pPr>
        <w:pStyle w:val="58"/>
        <w:ind w:firstLineChars="0"/>
        <w:rPr>
          <w:rFonts w:ascii="宋体" w:hAnsi="宋体"/>
          <w:sz w:val="18"/>
          <w:szCs w:val="18"/>
        </w:rPr>
      </w:pPr>
      <w:r>
        <w:rPr>
          <w:rFonts w:hint="eastAsia" w:ascii="宋体" w:hAnsi="宋体"/>
          <w:sz w:val="18"/>
          <w:szCs w:val="18"/>
        </w:rPr>
        <w:t>（</w:t>
      </w:r>
      <w:r>
        <w:rPr>
          <w:rFonts w:ascii="宋体" w:hAnsi="宋体"/>
          <w:sz w:val="18"/>
          <w:szCs w:val="18"/>
        </w:rPr>
        <w:t>1）投资固定收益类资产的风险</w:t>
      </w:r>
    </w:p>
    <w:p>
      <w:pPr>
        <w:pStyle w:val="58"/>
        <w:ind w:firstLineChars="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投资</w:t>
      </w:r>
      <w:r>
        <w:rPr>
          <w:rFonts w:hint="eastAsia" w:ascii="宋体" w:hAnsi="宋体"/>
          <w:sz w:val="18"/>
          <w:szCs w:val="18"/>
        </w:rPr>
        <w:t>标准化</w:t>
      </w:r>
      <w:r>
        <w:rPr>
          <w:rFonts w:ascii="宋体" w:hAnsi="宋体"/>
          <w:sz w:val="18"/>
          <w:szCs w:val="18"/>
        </w:rPr>
        <w:t>债权类资产的风险</w:t>
      </w:r>
    </w:p>
    <w:p>
      <w:pPr>
        <w:pStyle w:val="58"/>
        <w:ind w:firstLineChars="0"/>
        <w:rPr>
          <w:rFonts w:ascii="宋体" w:hAnsi="宋体"/>
          <w:sz w:val="18"/>
          <w:szCs w:val="18"/>
        </w:rPr>
      </w:pPr>
      <w:r>
        <w:rPr>
          <w:rFonts w:ascii="宋体" w:hAnsi="宋体"/>
          <w:sz w:val="18"/>
          <w:szCs w:val="18"/>
        </w:rPr>
        <w:t>本产品投资债券</w:t>
      </w:r>
      <w:r>
        <w:rPr>
          <w:rFonts w:hint="eastAsia" w:ascii="宋体" w:hAnsi="宋体"/>
          <w:sz w:val="18"/>
          <w:szCs w:val="18"/>
        </w:rPr>
        <w:t>、资产支持证券等固定收益类资产时可能面临以下风险：</w:t>
      </w:r>
      <w:r>
        <w:rPr>
          <w:rFonts w:ascii="宋体" w:hAnsi="宋体"/>
          <w:sz w:val="18"/>
          <w:szCs w:val="18"/>
        </w:rPr>
        <w:t>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58"/>
        <w:ind w:firstLineChars="0"/>
        <w:rPr>
          <w:rFonts w:ascii="宋体" w:hAnsi="宋体"/>
          <w:sz w:val="18"/>
          <w:szCs w:val="18"/>
        </w:rPr>
      </w:pPr>
      <w:r>
        <w:rPr>
          <w:rFonts w:ascii="宋体" w:hAnsi="宋体"/>
          <w:sz w:val="18"/>
          <w:szCs w:val="18"/>
        </w:rPr>
        <w:t>2）投资非标准化债权类资产</w:t>
      </w:r>
      <w:r>
        <w:rPr>
          <w:rFonts w:hint="eastAsia" w:ascii="宋体" w:hAnsi="宋体"/>
          <w:sz w:val="18"/>
          <w:szCs w:val="18"/>
        </w:rPr>
        <w:t>的</w:t>
      </w:r>
      <w:r>
        <w:rPr>
          <w:rFonts w:ascii="宋体" w:hAnsi="宋体"/>
          <w:sz w:val="18"/>
          <w:szCs w:val="18"/>
        </w:rPr>
        <w:t>风险</w:t>
      </w:r>
    </w:p>
    <w:p>
      <w:pPr>
        <w:pStyle w:val="58"/>
        <w:ind w:firstLineChars="0"/>
        <w:rPr>
          <w:rFonts w:ascii="宋体" w:hAnsi="宋体"/>
          <w:sz w:val="18"/>
          <w:szCs w:val="18"/>
        </w:rPr>
      </w:pPr>
      <w:r>
        <w:rPr>
          <w:rFonts w:hint="eastAsia" w:ascii="宋体" w:hAnsi="宋体"/>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pStyle w:val="58"/>
        <w:ind w:firstLineChars="0"/>
        <w:rPr>
          <w:rFonts w:ascii="宋体" w:hAnsi="宋体"/>
          <w:sz w:val="18"/>
          <w:szCs w:val="18"/>
        </w:rPr>
      </w:pPr>
      <w:r>
        <w:rPr>
          <w:rFonts w:hint="eastAsia" w:ascii="宋体" w:hAnsi="宋体"/>
          <w:sz w:val="18"/>
          <w:szCs w:val="18"/>
        </w:rPr>
        <w:t>（2）投资</w:t>
      </w:r>
      <w:r>
        <w:rPr>
          <w:rFonts w:ascii="宋体" w:hAnsi="宋体"/>
          <w:sz w:val="18"/>
          <w:szCs w:val="18"/>
        </w:rPr>
        <w:t>权益类资产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58"/>
        <w:ind w:firstLineChars="0"/>
        <w:rPr>
          <w:rFonts w:ascii="宋体" w:hAnsi="宋体"/>
          <w:sz w:val="18"/>
          <w:szCs w:val="18"/>
        </w:rPr>
      </w:pPr>
      <w:r>
        <w:rPr>
          <w:rFonts w:hint="eastAsia" w:ascii="宋体" w:hAnsi="宋体"/>
          <w:sz w:val="18"/>
          <w:szCs w:val="18"/>
        </w:rPr>
        <w:t>1）投资股票类资产的风险</w:t>
      </w:r>
    </w:p>
    <w:p>
      <w:pPr>
        <w:pStyle w:val="58"/>
        <w:ind w:firstLineChars="0"/>
        <w:rPr>
          <w:rFonts w:ascii="宋体" w:hAnsi="宋体"/>
          <w:sz w:val="18"/>
          <w:szCs w:val="18"/>
        </w:rPr>
      </w:pPr>
      <w:r>
        <w:rPr>
          <w:rFonts w:ascii="宋体" w:hAnsi="宋体"/>
          <w:sz w:val="18"/>
          <w:szCs w:val="18"/>
        </w:rPr>
        <w:t>本产品投资股票类资产时可能面临以下风险</w:t>
      </w:r>
      <w:r>
        <w:rPr>
          <w:rFonts w:hint="eastAsia" w:ascii="宋体" w:hAnsi="宋体"/>
          <w:sz w:val="18"/>
          <w:szCs w:val="18"/>
        </w:rPr>
        <w:t>：</w:t>
      </w:r>
      <w:r>
        <w:rPr>
          <w:rFonts w:ascii="宋体" w:hAnsi="宋体"/>
          <w:sz w:val="18"/>
          <w:szCs w:val="18"/>
        </w:rPr>
        <w:t>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pStyle w:val="58"/>
        <w:ind w:firstLineChars="0"/>
        <w:rPr>
          <w:rFonts w:ascii="宋体" w:hAnsi="宋体"/>
          <w:sz w:val="18"/>
          <w:szCs w:val="18"/>
        </w:rPr>
      </w:pPr>
      <w:r>
        <w:rPr>
          <w:rFonts w:hint="eastAsia" w:ascii="宋体" w:hAnsi="宋体"/>
          <w:sz w:val="18"/>
          <w:szCs w:val="18"/>
        </w:rPr>
        <w:t>2）投资股权类资产的风险</w:t>
      </w:r>
    </w:p>
    <w:p>
      <w:pPr>
        <w:rPr>
          <w:rFonts w:ascii="宋体" w:hAnsi="宋体"/>
          <w:sz w:val="18"/>
          <w:szCs w:val="18"/>
        </w:rPr>
      </w:pPr>
      <w:r>
        <w:rPr>
          <w:rFonts w:ascii="宋体" w:hAnsi="宋体"/>
          <w:sz w:val="18"/>
          <w:szCs w:val="18"/>
        </w:rPr>
        <w:t>本产品投资未上市股权类资产时可能面临以下风险</w:t>
      </w:r>
      <w:r>
        <w:rPr>
          <w:rFonts w:hint="eastAsia" w:ascii="宋体" w:hAnsi="宋体"/>
          <w:sz w:val="18"/>
          <w:szCs w:val="18"/>
        </w:rPr>
        <w:t>：</w:t>
      </w:r>
      <w:r>
        <w:rPr>
          <w:rFonts w:ascii="宋体" w:hAnsi="宋体"/>
          <w:sz w:val="18"/>
          <w:szCs w:val="18"/>
        </w:rPr>
        <w:t>国家政策、经济周期、行业政策</w:t>
      </w:r>
      <w:r>
        <w:rPr>
          <w:rFonts w:hint="eastAsia" w:ascii="宋体" w:hAnsi="宋体"/>
          <w:sz w:val="18"/>
          <w:szCs w:val="18"/>
        </w:rPr>
        <w:t>等因素可能发生变化导致的市场风险；</w:t>
      </w:r>
      <w:r>
        <w:rPr>
          <w:rFonts w:ascii="宋体" w:hAnsi="宋体"/>
          <w:sz w:val="18"/>
          <w:szCs w:val="18"/>
        </w:rPr>
        <w:t>因市场、技术、竞争、管理、财务等导致公司盈利发生变化，其</w:t>
      </w:r>
      <w:r>
        <w:rPr>
          <w:rFonts w:hint="eastAsia" w:ascii="宋体" w:hAnsi="宋体"/>
          <w:sz w:val="18"/>
          <w:szCs w:val="18"/>
        </w:rPr>
        <w:t>股权</w:t>
      </w:r>
      <w:r>
        <w:rPr>
          <w:rFonts w:ascii="宋体" w:hAnsi="宋体"/>
          <w:sz w:val="18"/>
          <w:szCs w:val="18"/>
        </w:rPr>
        <w:t>价值可能下跌，影响投资者收益</w:t>
      </w:r>
      <w:r>
        <w:rPr>
          <w:rFonts w:hint="eastAsia" w:ascii="宋体" w:hAnsi="宋体"/>
          <w:sz w:val="18"/>
          <w:szCs w:val="18"/>
        </w:rPr>
        <w:t>；</w:t>
      </w:r>
      <w:r>
        <w:rPr>
          <w:rFonts w:ascii="宋体" w:hAnsi="宋体"/>
          <w:sz w:val="18"/>
          <w:szCs w:val="18"/>
        </w:rPr>
        <w:t>因股权未上市或存在相关限制股权转让的协议导致的流动性风险等</w:t>
      </w:r>
      <w:r>
        <w:rPr>
          <w:rFonts w:hint="eastAsia" w:ascii="宋体" w:hAnsi="宋体"/>
          <w:sz w:val="18"/>
          <w:szCs w:val="18"/>
        </w:rPr>
        <w:t>。</w:t>
      </w:r>
    </w:p>
    <w:p>
      <w:pPr>
        <w:pStyle w:val="58"/>
        <w:ind w:firstLineChars="0"/>
        <w:rPr>
          <w:rFonts w:ascii="宋体" w:hAnsi="宋体"/>
          <w:sz w:val="18"/>
          <w:szCs w:val="18"/>
        </w:rPr>
      </w:pPr>
      <w:r>
        <w:rPr>
          <w:rFonts w:hint="eastAsia" w:ascii="宋体" w:hAnsi="宋体"/>
          <w:sz w:val="18"/>
          <w:szCs w:val="18"/>
        </w:rPr>
        <w:t>（</w:t>
      </w:r>
      <w:r>
        <w:rPr>
          <w:rFonts w:ascii="宋体" w:hAnsi="宋体"/>
          <w:sz w:val="18"/>
          <w:szCs w:val="18"/>
        </w:rPr>
        <w:t>3）投资商品和金融衍生品类资产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58"/>
        <w:ind w:firstLineChars="0"/>
        <w:rPr>
          <w:rFonts w:ascii="宋体" w:hAnsi="宋体"/>
          <w:sz w:val="18"/>
          <w:szCs w:val="18"/>
        </w:rPr>
      </w:pPr>
      <w:r>
        <w:rPr>
          <w:rFonts w:ascii="宋体" w:hAnsi="宋体"/>
          <w:sz w:val="18"/>
          <w:szCs w:val="18"/>
        </w:rPr>
        <w:t>本产品投资商品和金融衍生品类资产时</w:t>
      </w:r>
      <w:r>
        <w:rPr>
          <w:rFonts w:hint="eastAsia" w:ascii="宋体" w:hAnsi="宋体"/>
          <w:sz w:val="18"/>
          <w:szCs w:val="18"/>
        </w:rPr>
        <w:t>可能面临以下风险：该衍生品资产</w:t>
      </w:r>
      <w:r>
        <w:rPr>
          <w:rFonts w:ascii="宋体" w:hAnsi="宋体"/>
          <w:sz w:val="18"/>
          <w:szCs w:val="18"/>
        </w:rPr>
        <w:t>可能实行保证金交易制度，具有高杠杆性，高杠杆效应放大了价格波动风险；若本产品运作中出现基差</w:t>
      </w:r>
      <w:r>
        <w:rPr>
          <w:rFonts w:hint="eastAsia" w:ascii="宋体" w:hAnsi="宋体"/>
          <w:sz w:val="18"/>
          <w:szCs w:val="18"/>
        </w:rPr>
        <w:t>（注：</w:t>
      </w:r>
      <w:r>
        <w:rPr>
          <w:rFonts w:ascii="宋体" w:hAnsi="宋体"/>
          <w:sz w:val="18"/>
          <w:szCs w:val="18"/>
        </w:rPr>
        <w:t>基差是指现货价格与期货价格之间的差额</w:t>
      </w:r>
      <w:r>
        <w:rPr>
          <w:rFonts w:hint="eastAsia" w:ascii="宋体" w:hAnsi="宋体"/>
          <w:sz w:val="18"/>
          <w:szCs w:val="18"/>
        </w:rPr>
        <w:t>）</w:t>
      </w:r>
      <w:r>
        <w:rPr>
          <w:rFonts w:ascii="宋体" w:hAnsi="宋体"/>
          <w:sz w:val="18"/>
          <w:szCs w:val="18"/>
        </w:rPr>
        <w:t>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pStyle w:val="58"/>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58"/>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58"/>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58"/>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58"/>
        <w:ind w:firstLine="426" w:firstLineChars="0"/>
        <w:rPr>
          <w:rFonts w:ascii="宋体" w:hAnsi="宋体" w:cs="仿宋_GB2312"/>
          <w:kern w:val="0"/>
          <w:sz w:val="18"/>
          <w:szCs w:val="18"/>
        </w:rPr>
      </w:pPr>
      <w:r>
        <w:rPr>
          <w:rFonts w:ascii="宋体" w:hAnsi="宋体"/>
          <w:b/>
          <w:bCs/>
          <w:sz w:val="18"/>
          <w:szCs w:val="18"/>
        </w:rPr>
        <w:t>3</w:t>
      </w:r>
      <w:r>
        <w:rPr>
          <w:rFonts w:hint="eastAsia" w:ascii="宋体" w:hAnsi="宋体"/>
          <w:b/>
          <w:bCs/>
          <w:sz w:val="18"/>
          <w:szCs w:val="18"/>
        </w:rPr>
        <w:t>.市场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58"/>
        <w:ind w:firstLine="426" w:firstLineChars="0"/>
        <w:rPr>
          <w:rFonts w:ascii="宋体" w:hAnsi="宋体" w:cs="仿宋_GB2312"/>
          <w:bCs/>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58"/>
        <w:ind w:firstLine="426" w:firstLineChars="0"/>
        <w:rPr>
          <w:rFonts w:ascii="宋体" w:hAnsi="宋体" w:cs="仿宋_GB2312"/>
          <w:kern w:val="0"/>
          <w:sz w:val="18"/>
          <w:szCs w:val="18"/>
        </w:rPr>
      </w:pPr>
      <w:r>
        <w:rPr>
          <w:rFonts w:ascii="宋体" w:hAnsi="宋体" w:cs="仿宋_GB2312"/>
          <w:b/>
          <w:kern w:val="0"/>
          <w:sz w:val="18"/>
          <w:szCs w:val="18"/>
        </w:rPr>
        <w:t>5</w:t>
      </w:r>
      <w:r>
        <w:rPr>
          <w:rFonts w:hint="eastAsia" w:ascii="宋体" w:hAnsi="宋体" w:cs="仿宋_GB2312"/>
          <w:b/>
          <w:kern w:val="0"/>
          <w:sz w:val="18"/>
          <w:szCs w:val="18"/>
        </w:rPr>
        <w:t>.</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58"/>
        <w:ind w:firstLine="426" w:firstLineChars="0"/>
        <w:rPr>
          <w:rFonts w:ascii="宋体" w:hAnsi="宋体" w:cs="仿宋_GB2312"/>
          <w:kern w:val="0"/>
          <w:sz w:val="18"/>
          <w:szCs w:val="18"/>
        </w:rPr>
      </w:pPr>
      <w:r>
        <w:rPr>
          <w:rFonts w:ascii="宋体" w:hAnsi="宋体"/>
          <w:b/>
          <w:bCs/>
          <w:sz w:val="18"/>
          <w:szCs w:val="18"/>
        </w:rPr>
        <w:t>6</w:t>
      </w:r>
      <w:r>
        <w:rPr>
          <w:rFonts w:hint="eastAsia" w:ascii="宋体" w:hAnsi="宋体"/>
          <w:b/>
          <w:bCs/>
          <w:sz w:val="18"/>
          <w:szCs w:val="18"/>
        </w:rPr>
        <w:t>.</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58"/>
        <w:ind w:firstLine="426" w:firstLineChars="0"/>
        <w:rPr>
          <w:rFonts w:ascii="宋体" w:hAnsi="宋体" w:cs="仿宋_GB2312"/>
          <w:kern w:val="0"/>
          <w:sz w:val="18"/>
          <w:szCs w:val="18"/>
        </w:rPr>
      </w:pPr>
      <w:r>
        <w:rPr>
          <w:rFonts w:ascii="宋体" w:hAnsi="宋体" w:cs="仿宋_GB2312"/>
          <w:b/>
          <w:kern w:val="0"/>
          <w:sz w:val="18"/>
          <w:szCs w:val="18"/>
        </w:rPr>
        <w:t>7</w:t>
      </w:r>
      <w:r>
        <w:rPr>
          <w:rFonts w:hint="eastAsia" w:ascii="宋体" w:hAnsi="宋体" w:cs="仿宋_GB2312"/>
          <w:b/>
          <w:kern w:val="0"/>
          <w:sz w:val="18"/>
          <w:szCs w:val="18"/>
        </w:rPr>
        <w:t>.</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58"/>
        <w:ind w:firstLine="426" w:firstLineChars="0"/>
        <w:rPr>
          <w:rFonts w:ascii="宋体" w:hAnsi="宋体" w:cs="仿宋_GB2312"/>
          <w:kern w:val="0"/>
          <w:sz w:val="18"/>
          <w:szCs w:val="18"/>
        </w:rPr>
      </w:pPr>
      <w:r>
        <w:rPr>
          <w:rFonts w:ascii="宋体" w:hAnsi="宋体"/>
          <w:b/>
          <w:bCs/>
          <w:sz w:val="18"/>
          <w:szCs w:val="18"/>
        </w:rPr>
        <w:t>8</w:t>
      </w:r>
      <w:r>
        <w:rPr>
          <w:rFonts w:hint="eastAsia" w:ascii="宋体" w:hAnsi="宋体"/>
          <w:b/>
          <w:bCs/>
          <w:sz w:val="18"/>
          <w:szCs w:val="18"/>
        </w:rPr>
        <w:t>.</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ascii="宋体" w:hAnsi="宋体"/>
          <w:b/>
          <w:bCs/>
          <w:sz w:val="18"/>
          <w:szCs w:val="18"/>
        </w:rPr>
        <w:t>9</w:t>
      </w:r>
      <w:r>
        <w:rPr>
          <w:rFonts w:hint="eastAsia" w:ascii="宋体" w:hAnsi="宋体"/>
          <w:b/>
          <w:bCs/>
          <w:sz w:val="18"/>
          <w:szCs w:val="18"/>
        </w:rPr>
        <w:t>.</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58"/>
        <w:ind w:firstLine="426" w:firstLineChars="0"/>
        <w:rPr>
          <w:rFonts w:ascii="宋体" w:hAnsi="宋体"/>
          <w:bCs/>
          <w:sz w:val="18"/>
          <w:szCs w:val="18"/>
        </w:rPr>
      </w:pPr>
      <w:r>
        <w:rPr>
          <w:rFonts w:ascii="宋体" w:hAnsi="宋体"/>
          <w:b/>
          <w:bCs/>
          <w:sz w:val="18"/>
          <w:szCs w:val="18"/>
        </w:rPr>
        <w:t>10</w:t>
      </w:r>
      <w:r>
        <w:rPr>
          <w:rFonts w:hint="eastAsia" w:ascii="宋体" w:hAnsi="宋体"/>
          <w:b/>
          <w:bCs/>
          <w:sz w:val="18"/>
          <w:szCs w:val="18"/>
        </w:rPr>
        <w:t>.</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58"/>
        <w:ind w:firstLineChars="0"/>
        <w:rPr>
          <w:rFonts w:ascii="宋体" w:hAnsi="宋体"/>
          <w:bCs/>
          <w:sz w:val="18"/>
          <w:szCs w:val="18"/>
        </w:rPr>
      </w:pPr>
      <w:r>
        <w:rPr>
          <w:rFonts w:ascii="宋体" w:hAnsi="宋体"/>
          <w:b/>
          <w:bCs/>
          <w:sz w:val="18"/>
          <w:szCs w:val="18"/>
        </w:rPr>
        <w:t>11</w:t>
      </w:r>
      <w:r>
        <w:rPr>
          <w:rFonts w:hint="eastAsia" w:ascii="宋体" w:hAnsi="宋体"/>
          <w:b/>
          <w:bCs/>
          <w:sz w:val="18"/>
          <w:szCs w:val="18"/>
        </w:rPr>
        <w:t>.理财产品不成立风险：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58"/>
        <w:ind w:firstLineChars="0"/>
        <w:rPr>
          <w:rFonts w:ascii="宋体" w:hAnsi="宋体"/>
          <w:bCs/>
          <w:sz w:val="18"/>
          <w:szCs w:val="18"/>
        </w:rPr>
      </w:pPr>
      <w:r>
        <w:rPr>
          <w:rFonts w:ascii="宋体" w:hAnsi="宋体"/>
          <w:b/>
          <w:bCs/>
          <w:sz w:val="18"/>
          <w:szCs w:val="18"/>
        </w:rPr>
        <w:t>12</w:t>
      </w:r>
      <w:r>
        <w:rPr>
          <w:rFonts w:hint="eastAsia" w:ascii="宋体" w:hAnsi="宋体"/>
          <w:b/>
          <w:bCs/>
          <w:sz w:val="18"/>
          <w:szCs w:val="18"/>
        </w:rPr>
        <w:t>.</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58"/>
        <w:ind w:firstLineChars="0"/>
        <w:rPr>
          <w:rFonts w:ascii="宋体" w:hAnsi="宋体"/>
          <w:bCs/>
          <w:sz w:val="18"/>
          <w:szCs w:val="18"/>
        </w:rPr>
      </w:pPr>
      <w:r>
        <w:rPr>
          <w:rFonts w:ascii="宋体" w:hAnsi="宋体"/>
          <w:b/>
          <w:bCs/>
          <w:sz w:val="18"/>
          <w:szCs w:val="18"/>
        </w:rPr>
        <w:t>13.估值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当前述资产管理产品计提业绩报酬时，本理财产品的产品份额净值存在下跌的风险。</w:t>
      </w:r>
    </w:p>
    <w:p>
      <w:pPr>
        <w:pStyle w:val="58"/>
        <w:ind w:firstLineChars="0"/>
        <w:rPr>
          <w:rFonts w:ascii="宋体" w:hAnsi="宋体"/>
          <w:bCs/>
          <w:sz w:val="18"/>
          <w:szCs w:val="18"/>
        </w:rPr>
      </w:pPr>
      <w:r>
        <w:rPr>
          <w:rFonts w:ascii="宋体" w:hAnsi="宋体"/>
          <w:b/>
          <w:bCs/>
          <w:sz w:val="18"/>
          <w:szCs w:val="18"/>
        </w:rPr>
        <w:t>14</w:t>
      </w:r>
      <w:r>
        <w:rPr>
          <w:rFonts w:hint="eastAsia" w:ascii="宋体" w:hAnsi="宋体"/>
          <w:b/>
          <w:bCs/>
          <w:sz w:val="18"/>
          <w:szCs w:val="18"/>
        </w:rPr>
        <w:t>.</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58"/>
        <w:ind w:firstLineChars="0"/>
        <w:rPr>
          <w:rFonts w:ascii="黑体" w:hAnsi="黑体" w:eastAsia="黑体"/>
          <w:bCs/>
          <w:sz w:val="18"/>
          <w:szCs w:val="18"/>
          <w:u w:val="single"/>
        </w:rPr>
      </w:pPr>
      <w:r>
        <w:rPr>
          <w:rFonts w:ascii="宋体" w:hAnsi="宋体"/>
          <w:b/>
          <w:bCs/>
          <w:sz w:val="18"/>
          <w:szCs w:val="18"/>
        </w:rPr>
        <w:t>15</w:t>
      </w:r>
      <w:r>
        <w:rPr>
          <w:rFonts w:hint="eastAsia" w:ascii="宋体" w:hAnsi="宋体"/>
          <w:b/>
          <w:bCs/>
          <w:sz w:val="18"/>
          <w:szCs w:val="18"/>
        </w:rPr>
        <w:t>.</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58"/>
        <w:ind w:firstLineChars="0"/>
        <w:rPr>
          <w:rFonts w:ascii="黑体" w:hAnsi="黑体" w:eastAsia="黑体" w:cs="仿宋_GB2312"/>
          <w:kern w:val="0"/>
          <w:sz w:val="18"/>
          <w:szCs w:val="18"/>
        </w:rPr>
      </w:pPr>
      <w:r>
        <w:rPr>
          <w:rFonts w:ascii="黑体" w:hAnsi="黑体" w:eastAsia="黑体"/>
          <w:b/>
          <w:bCs/>
          <w:sz w:val="18"/>
          <w:szCs w:val="18"/>
          <w:u w:val="single"/>
        </w:rPr>
        <w:t>16.</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w:t>
      </w:r>
      <w:r>
        <w:rPr>
          <w:rFonts w:hint="eastAsia" w:ascii="黑体" w:hAnsi="黑体" w:eastAsia="黑体"/>
          <w:sz w:val="18"/>
          <w:szCs w:val="18"/>
        </w:rPr>
        <w:t>收费方式、</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w:t>
      </w:r>
      <w:r>
        <w:rPr>
          <w:rFonts w:hint="eastAsia" w:ascii="黑体" w:hAnsi="黑体" w:eastAsia="黑体" w:cs="仿宋_GB2312"/>
          <w:kern w:val="0"/>
          <w:sz w:val="18"/>
          <w:szCs w:val="18"/>
        </w:rPr>
        <w:t>赎回的数量限制、</w:t>
      </w:r>
      <w:r>
        <w:rPr>
          <w:rFonts w:hint="eastAsia" w:ascii="黑体" w:hAnsi="黑体" w:eastAsia="黑体"/>
          <w:sz w:val="18"/>
          <w:szCs w:val="18"/>
        </w:rPr>
        <w:t>投资者持有本产品的最高限额最低限额、</w:t>
      </w:r>
      <w:r>
        <w:rPr>
          <w:rFonts w:hint="eastAsia" w:ascii="黑体" w:hAnsi="黑体" w:eastAsia="黑体" w:cs="仿宋_GB2312"/>
          <w:kern w:val="0"/>
          <w:sz w:val="18"/>
          <w:szCs w:val="18"/>
        </w:rPr>
        <w:t>计算和公告产品份额净值方面存在差异。</w:t>
      </w:r>
    </w:p>
    <w:p>
      <w:pPr>
        <w:pStyle w:val="58"/>
        <w:ind w:firstLineChars="0"/>
        <w:rPr>
          <w:rFonts w:ascii="黑体" w:hAnsi="黑体" w:eastAsia="黑体"/>
          <w:sz w:val="18"/>
          <w:szCs w:val="18"/>
          <w:u w:val="single"/>
        </w:rPr>
      </w:pPr>
      <w:r>
        <w:rPr>
          <w:rFonts w:ascii="黑体" w:hAnsi="黑体" w:eastAsia="黑体"/>
          <w:b/>
          <w:bCs/>
          <w:sz w:val="18"/>
          <w:szCs w:val="18"/>
          <w:u w:val="single"/>
        </w:rPr>
        <w:t>17.</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b/>
          <w:sz w:val="18"/>
          <w:szCs w:val="18"/>
        </w:rPr>
      </w:pPr>
      <w:r>
        <w:rPr>
          <w:rFonts w:hint="eastAsia" w:ascii="黑体" w:hAnsi="黑体" w:eastAsia="黑体" w:cs="仿宋_GB2312"/>
          <w:b/>
          <w:kern w:val="0"/>
          <w:sz w:val="18"/>
          <w:szCs w:val="18"/>
        </w:rPr>
        <w:t>（三）</w:t>
      </w:r>
      <w:r>
        <w:rPr>
          <w:rFonts w:hint="eastAsia" w:hAnsi="宋体"/>
          <w:b/>
          <w:sz w:val="18"/>
          <w:szCs w:val="18"/>
        </w:rPr>
        <w:t>★</w:t>
      </w:r>
      <w:r>
        <w:rPr>
          <w:rFonts w:hint="eastAsia" w:ascii="黑体" w:hAnsi="黑体" w:eastAsia="黑体" w:cs="仿宋_GB2312"/>
          <w:b/>
          <w:kern w:val="0"/>
          <w:sz w:val="18"/>
          <w:szCs w:val="18"/>
        </w:rPr>
        <w:t>最不利投资情形下的投资结果示例：</w:t>
      </w:r>
      <w:r>
        <w:rPr>
          <w:rFonts w:hint="eastAsia" w:ascii="黑体" w:hAnsi="黑体" w:eastAsia="黑体"/>
          <w:b/>
          <w:bCs/>
          <w:sz w:val="18"/>
          <w:szCs w:val="18"/>
        </w:rPr>
        <w:t>产品管理人对本产品的理财本金和收益不提供保证承诺，</w:t>
      </w:r>
      <w:r>
        <w:rPr>
          <w:rFonts w:hint="eastAsia" w:ascii="黑体" w:hAnsi="黑体" w:eastAsia="黑体"/>
          <w:b/>
          <w:sz w:val="18"/>
          <w:szCs w:val="18"/>
        </w:rPr>
        <w:t>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销售机构（【福建省农村信用社联合社】）</w:t>
      </w:r>
    </w:p>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25"/>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25"/>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25"/>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Pr>
        <w:spacing w:line="360" w:lineRule="auto"/>
        <w:ind w:firstLine="0" w:firstLineChars="0"/>
        <w:jc w:val="left"/>
        <w:rPr>
          <w:rFonts w:hint="eastAsia" w:ascii="宋体" w:hAnsi="宋体"/>
          <w:b/>
          <w:sz w:val="18"/>
          <w:szCs w:val="18"/>
        </w:rPr>
        <w:sectPr>
          <w:headerReference r:id="rId15" w:type="default"/>
          <w:footerReference r:id="rId16" w:type="default"/>
          <w:pgSz w:w="11906" w:h="16838"/>
          <w:pgMar w:top="1440" w:right="1800" w:bottom="1440" w:left="1800" w:header="851" w:footer="992" w:gutter="0"/>
          <w:cols w:space="425" w:num="1"/>
          <w:docGrid w:type="lines" w:linePitch="312" w:charSpace="0"/>
        </w:sectPr>
      </w:pP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兴银理财天天万利宝稳利净值型理财产品</w:t>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感谢您通过销售机构【福建省农村信用社联合社】以(□ 直销：产品管理人销售/</w:t>
      </w:r>
      <w:r>
        <w:rPr>
          <w:rFonts w:hint="eastAsia" w:asciiTheme="majorEastAsia" w:hAnsiTheme="majorEastAsia" w:eastAsiaTheme="majorEastAsia"/>
          <w:bCs/>
          <w:color w:val="000000" w:themeColor="text1"/>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w:t>
      </w:r>
      <w:r>
        <w:rPr>
          <w:rFonts w:ascii="宋体" w:hAnsi="宋体"/>
          <w:sz w:val="18"/>
          <w:szCs w:val="18"/>
        </w:rPr>
        <w:t>（包括但不限于网上银行、电话银行和手机银行）均可办理理财产品的购买手续，但是对于具体理财产品，</w:t>
      </w:r>
      <w:r>
        <w:rPr>
          <w:rFonts w:hint="eastAsia" w:ascii="宋体" w:hAnsi="宋体"/>
          <w:sz w:val="18"/>
          <w:szCs w:val="18"/>
        </w:rPr>
        <w:t>产品管理人</w:t>
      </w:r>
      <w:r>
        <w:rPr>
          <w:rFonts w:ascii="宋体" w:hAnsi="宋体"/>
          <w:sz w:val="18"/>
          <w:szCs w:val="18"/>
        </w:rPr>
        <w:t>将根据产品风险等级和市场情况自行确定发售渠道。</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首次购买兴银理财的理财产品前，需要进行风险承受能力评估，填写《个人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投资者风险承受能力，个人投资者由低至高分为【C1至C</w:t>
      </w:r>
      <w:r>
        <w:rPr>
          <w:rFonts w:ascii="宋体" w:hAnsi="宋体"/>
          <w:sz w:val="18"/>
          <w:szCs w:val="18"/>
        </w:rPr>
        <w:t>6六</w:t>
      </w:r>
      <w:r>
        <w:rPr>
          <w:rFonts w:hint="eastAsia" w:ascii="宋体" w:hAnsi="宋体"/>
          <w:sz w:val="18"/>
          <w:szCs w:val="18"/>
        </w:rPr>
        <w:t>个等级】</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【C6】</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24"/>
        <w:tblW w:w="83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325"/>
        <w:gridCol w:w="5311"/>
        <w:gridCol w:w="17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风险评级</w:t>
            </w:r>
          </w:p>
        </w:tc>
        <w:tc>
          <w:tcPr>
            <w:tcW w:w="5311"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评级说明</w:t>
            </w:r>
          </w:p>
        </w:tc>
        <w:tc>
          <w:tcPr>
            <w:tcW w:w="1713"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投资者对象</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安逸型（R1）</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本金风险低，产品投资目标不能实现的概率较低；或投资范围仅限于货币市场工具等风险极低的短期金融资产。</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安逸型（C1）及以上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谨慎型（R2）</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本金风险相对较小，收益浮动但相对较小。产品结构简单，过往业绩及净值的历史波动率低；投资标的流动性很好或为较高等级的信用主体；或者衍生品及杠杆交易对净值波动极小；估值政策清晰。</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谨慎型（C2）及以上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稳健型（R3）</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有一定的本金风险，收益浮动且有一定波动。产品结构简单，过往业绩及净值的历史波动率较低；投资标的流动性好或为中等及以上的信用主体；或者投资衍生品以套期保值为目的，衍生品及杠杆交易对净值波动较小；估值政策清晰。</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稳健型（C3）及以上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增长型（R4）</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本金风险较大。产品主要投资于流动性较好的投资标的，产品结构简单，但收益浮动且波动很大，过往业绩及净值的历史波动率较高；或者投资标的流动性较差或为中等以下的信用主体，但产品结构简单，且不投资于衍生品及杠杆交易；估值政策简单；或者投资衍生品以套期保值为目的，衍生品及杠杆交易对净值波动较大，估值政策较清晰。</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增长型（C4）及以上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进取型（R5）</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本金风险很大，收益浮动且波动很大。产品结构较复杂，过往业绩及净值的历史波动率高；或者投资标的流动性较差或为低等级的信用主体，期限较长；或者投资衍生品以追求收益为目的，衍生品及杠杆交易对净值波动很大；估值政策较复杂。投资者要作出谨慎的产品选择，积极的关注相关风险。</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进取型（C5）及以上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trPr>
        <w:tc>
          <w:tcPr>
            <w:tcW w:w="1325" w:type="dxa"/>
            <w:vAlign w:val="center"/>
          </w:tcPr>
          <w:p>
            <w:pPr>
              <w:jc w:val="center"/>
              <w:rPr>
                <w:rFonts w:ascii="宋体" w:hAnsi="宋体"/>
                <w:color w:val="000000" w:themeColor="text1"/>
                <w:sz w:val="18"/>
                <w:szCs w:val="18"/>
              </w:rPr>
            </w:pPr>
            <w:r>
              <w:rPr>
                <w:rFonts w:hint="eastAsia" w:ascii="宋体" w:hAnsi="宋体"/>
                <w:color w:val="000000" w:themeColor="text1"/>
                <w:sz w:val="18"/>
                <w:szCs w:val="18"/>
              </w:rPr>
              <w:t>激进型（R6）</w:t>
            </w:r>
          </w:p>
        </w:tc>
        <w:tc>
          <w:tcPr>
            <w:tcW w:w="5311" w:type="dxa"/>
            <w:vAlign w:val="center"/>
          </w:tcPr>
          <w:p>
            <w:pPr>
              <w:rPr>
                <w:rFonts w:ascii="宋体" w:hAnsi="宋体"/>
                <w:color w:val="000000" w:themeColor="text1"/>
                <w:sz w:val="18"/>
                <w:szCs w:val="18"/>
              </w:rPr>
            </w:pPr>
            <w:r>
              <w:rPr>
                <w:rFonts w:hint="eastAsia" w:ascii="宋体" w:hAnsi="宋体"/>
                <w:color w:val="000000" w:themeColor="text1"/>
                <w:sz w:val="18"/>
                <w:szCs w:val="18"/>
              </w:rPr>
              <w:t>产品本金风险极大，收益浮动且波动极大。产品结构复杂，过往业绩及净值的历史波动率很高；或者投资标的流动性很差或为极低等级的信用主体，期限很长；或者投资衍生品以追求收益为目的，衍生品及杠杆交易对净值波动极大；估值政策非常复杂。投资者需要非常谨慎的产品选择、十分积极的关注相关风险。</w:t>
            </w:r>
          </w:p>
        </w:tc>
        <w:tc>
          <w:tcPr>
            <w:tcW w:w="1713" w:type="dxa"/>
            <w:vAlign w:val="center"/>
          </w:tcPr>
          <w:p>
            <w:pPr>
              <w:rPr>
                <w:rFonts w:ascii="宋体" w:hAnsi="宋体"/>
                <w:color w:val="000000" w:themeColor="text1"/>
                <w:sz w:val="18"/>
                <w:szCs w:val="18"/>
              </w:rPr>
            </w:pPr>
            <w:r>
              <w:rPr>
                <w:rFonts w:hint="eastAsia" w:ascii="宋体" w:hAnsi="宋体"/>
                <w:color w:val="000000" w:themeColor="text1"/>
                <w:sz w:val="18"/>
                <w:szCs w:val="18"/>
              </w:rPr>
              <w:t xml:space="preserve">激进型（C6） </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理财产品的信息披露将通过兴业银行</w:t>
      </w:r>
      <w:r>
        <w:rPr>
          <w:rFonts w:asciiTheme="minorEastAsia" w:hAnsiTheme="minorEastAsia"/>
          <w:sz w:val="18"/>
          <w:szCs w:val="18"/>
        </w:rPr>
        <w:t>或</w:t>
      </w:r>
      <w:r>
        <w:rPr>
          <w:rFonts w:hint="eastAsia" w:asciiTheme="minorEastAsia" w:hAnsiTheme="minorEastAsia"/>
          <w:sz w:val="18"/>
          <w:szCs w:val="18"/>
        </w:rPr>
        <w:t>销售机构</w:t>
      </w:r>
      <w:r>
        <w:rPr>
          <w:rFonts w:hint="eastAsia" w:ascii="宋体" w:hAnsi="宋体"/>
          <w:bCs/>
          <w:sz w:val="18"/>
          <w:szCs w:val="18"/>
        </w:rPr>
        <w:t>的信息披露渠道（包括但不限于兴业</w:t>
      </w:r>
      <w:r>
        <w:rPr>
          <w:rFonts w:ascii="宋体" w:hAnsi="宋体"/>
          <w:bCs/>
          <w:sz w:val="18"/>
          <w:szCs w:val="18"/>
        </w:rPr>
        <w:t>银</w:t>
      </w:r>
      <w:r>
        <w:rPr>
          <w:rFonts w:hint="eastAsia" w:ascii="宋体" w:hAnsi="宋体"/>
          <w:bCs/>
          <w:sz w:val="18"/>
          <w:szCs w:val="18"/>
        </w:rPr>
        <w:t>行或销售机构的营业网点、门户网站、电子销售渠道等）进行。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信息披露条款</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hint="eastAsia" w:ascii="宋体" w:hAnsi="宋体"/>
          <w:sz w:val="18"/>
          <w:szCs w:val="18"/>
        </w:rPr>
      </w:pPr>
      <w:r>
        <w:rPr>
          <w:rFonts w:ascii="宋体" w:hAnsi="宋体"/>
          <w:sz w:val="18"/>
          <w:szCs w:val="18"/>
        </w:rPr>
        <w:t>通过</w:t>
      </w:r>
      <w:r>
        <w:rPr>
          <w:rFonts w:hint="eastAsia" w:ascii="宋体" w:hAnsi="宋体"/>
          <w:sz w:val="18"/>
          <w:szCs w:val="18"/>
        </w:rPr>
        <w:t>兴业银行（作为销售机构）购</w:t>
      </w:r>
      <w:r>
        <w:rPr>
          <w:rFonts w:ascii="宋体" w:hAnsi="宋体"/>
          <w:sz w:val="18"/>
          <w:szCs w:val="18"/>
        </w:rPr>
        <w:t>买本产品的请联系兴业银行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autoSpaceDE w:val="0"/>
        <w:autoSpaceDN w:val="0"/>
        <w:adjustRightInd w:val="0"/>
        <w:jc w:val="left"/>
        <w:rPr>
          <w:rFonts w:ascii="仿宋_GB2312" w:eastAsia="仿宋_GB2312" w:cs="仿宋_GB2312"/>
          <w:color w:val="000000"/>
          <w:kern w:val="0"/>
          <w:sz w:val="24"/>
          <w:szCs w:val="24"/>
        </w:rPr>
      </w:pPr>
      <w:r>
        <w:rPr>
          <w:rFonts w:hint="eastAsia" w:ascii="宋体" w:hAnsi="宋体"/>
          <w:sz w:val="18"/>
          <w:szCs w:val="18"/>
          <w:lang w:val="en-US" w:eastAsia="zh-CN"/>
        </w:rPr>
        <w:t xml:space="preserve">    </w:t>
      </w:r>
      <w:bookmarkStart w:id="243" w:name="_GoBack"/>
      <w:bookmarkEnd w:id="243"/>
      <w:r>
        <w:rPr>
          <w:rFonts w:hint="eastAsia" w:ascii="宋体" w:hAnsi="宋体"/>
          <w:sz w:val="18"/>
          <w:szCs w:val="18"/>
        </w:rPr>
        <w:t>通过【福建省农村信用社联合社】（作为销售服务机构）购买本产品的，请联系【福建省农村信用社联合社】，【福建省农村信用社联合社】客户服务热线：【0591-96336】；【福建省农村信用社联合社】门户网站：【www.fjnx.com.cn】。</w:t>
      </w: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27"/>
          <w:rFonts w:ascii="黑体" w:hAnsi="黑体" w:eastAsia="黑体"/>
          <w:sz w:val="28"/>
          <w:szCs w:val="28"/>
        </w:rPr>
      </w:pPr>
      <w:r>
        <w:rPr>
          <w:rStyle w:val="27"/>
          <w:rFonts w:hint="eastAsia" w:ascii="黑体" w:hAnsi="黑体" w:eastAsia="黑体"/>
          <w:sz w:val="28"/>
          <w:szCs w:val="28"/>
        </w:rPr>
        <w:t>兴银理财天天万利宝稳利净值型理财产品</w:t>
      </w:r>
    </w:p>
    <w:p>
      <w:pPr>
        <w:adjustRightInd w:val="0"/>
        <w:spacing w:line="280" w:lineRule="atLeast"/>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 】以(□ 直销：产品管理人销售/</w:t>
      </w:r>
      <w:r>
        <w:rPr>
          <w:rFonts w:hint="eastAsia" w:asciiTheme="majorEastAsia" w:hAnsiTheme="majorEastAsia" w:eastAsiaTheme="majorEastAsia"/>
          <w:bCs/>
          <w:color w:val="000000" w:themeColor="text1"/>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您首次购买兴银理财的理财产品前，需要进行风险承受能力评估，填写《机构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投资者风险承受能力，机构投资者由低至高分为【C1至C5五个等级】</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【C5】</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24"/>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R1</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低风险理财产品。理财产品的总体风险很低，净值波动很小，理财投资本金遭受损失的可能性很低，且产品具有较高的流动性。</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R2</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较低风险理财产品。理财产品的总体风险较低，净值波动较小，理财投资本金遭受损失的可能性较低。</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R3</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中等风险理财产品。理财产品的总体风险适中，净值波动明显，产品本金出现损失的可能性不容忽视。</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R4</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较高风险理财产品。理财产品的总体风险较高，净值波动明显，产品本金出现损失的可能性较高。</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R5</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高风险理财产品。理财产品的总体风险程度高，净值波动明显，产品本金出现重大损失的可能性高。</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C5及以上</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 xml:space="preserve"> </w:t>
      </w: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兴银理财天天万利宝稳利净值型理财产品</w:t>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宋体" w:hAnsi="宋体"/>
          <w:sz w:val="18"/>
          <w:szCs w:val="18"/>
          <w:lang w:val="en-US" w:eastAsia="zh-CN"/>
        </w:rPr>
        <w:t xml:space="preserve"> </w:t>
      </w:r>
      <w:r>
        <w:rPr>
          <w:rFonts w:hint="eastAsia" w:ascii="宋体" w:hAnsi="宋体"/>
          <w:sz w:val="18"/>
          <w:szCs w:val="18"/>
        </w:rPr>
        <w:t>】以(□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
      <w:pPr>
        <w:spacing w:line="360" w:lineRule="auto"/>
        <w:ind w:firstLine="0" w:firstLineChars="0"/>
        <w:jc w:val="left"/>
        <w:rPr>
          <w:rFonts w:hint="eastAsia" w:ascii="宋体" w:hAnsi="宋体"/>
          <w:b/>
          <w:sz w:val="18"/>
          <w:szCs w:val="18"/>
        </w:rPr>
      </w:pPr>
    </w:p>
    <w:sectPr>
      <w:headerReference r:id="rId17" w:type="default"/>
      <w:footerReference r:id="rId18"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9</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9</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36</w:t>
        </w:r>
        <w:r>
          <w:fldChar w:fldCharType="end"/>
        </w:r>
      </w:p>
    </w:sdtContent>
  </w:sdt>
  <w:p>
    <w:pPr>
      <w:pStyle w:val="8"/>
      <w:jc w:val="both"/>
      <w:rPr>
        <w:rFonts w:ascii="黑体" w:hAnsi="黑体" w:eastAsia="黑体"/>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3202528"/>
    </w:sdtPr>
    <w:sdtContent>
      <w:p>
        <w:pPr>
          <w:pStyle w:val="14"/>
          <w:jc w:val="center"/>
        </w:pPr>
        <w:r>
          <w:rPr>
            <w:rFonts w:hint="eastAsia"/>
          </w:rPr>
          <w:t>第</w:t>
        </w:r>
        <w:r>
          <w:fldChar w:fldCharType="begin"/>
        </w:r>
        <w:r>
          <w:instrText xml:space="preserve">PAGE   \* MERGEFORMAT</w:instrText>
        </w:r>
        <w:r>
          <w:fldChar w:fldCharType="separate"/>
        </w:r>
        <w:r>
          <w:rPr>
            <w:lang w:val="zh-CN"/>
          </w:rPr>
          <w:t>2</w:t>
        </w:r>
        <w:r>
          <w:fldChar w:fldCharType="end"/>
        </w:r>
        <w:r>
          <w:rPr>
            <w:rFonts w:hint="eastAsia"/>
          </w:rPr>
          <w:t>页</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0"/>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0"/>
      </w:pBdr>
      <w:tabs>
        <w:tab w:val="right" w:pos="8280"/>
      </w:tabs>
      <w:adjustRightInd w:val="0"/>
      <w:jc w:val="right"/>
    </w:pPr>
    <w:r>
      <w:rPr>
        <w:rFonts w:hint="eastAsia"/>
        <w:b/>
      </w:rPr>
      <w:t>注：本文件由兴银理财有限责任公司统一编制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0"/>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0"/>
      </w:pBdr>
      <w:tabs>
        <w:tab w:val="right" w:pos="8280"/>
      </w:tabs>
      <w:adjustRightInd w:val="0"/>
      <w:jc w:val="right"/>
    </w:pPr>
    <w:r>
      <w:rPr>
        <w:rFonts w:hint="eastAsia"/>
        <w:b/>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b/>
      </w:rPr>
      <w:t>（代理）销售协议书</w:t>
    </w:r>
  </w:p>
  <w:p>
    <w:pPr>
      <w:pStyle w:val="15"/>
      <w:pBdr>
        <w:bottom w:val="thickThinLargeGap" w:color="auto" w:sz="24" w:space="10"/>
      </w:pBdr>
      <w:tabs>
        <w:tab w:val="right" w:pos="8280"/>
      </w:tabs>
      <w:wordWrap w:val="0"/>
      <w:adjustRightInd w:val="0"/>
      <w:jc w:val="right"/>
      <w:rPr>
        <w:b/>
      </w:rPr>
    </w:pPr>
    <w:r>
      <w:rPr>
        <w:rFonts w:hint="eastAsia"/>
        <w:b/>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1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投资者权益须知</w:t>
    </w:r>
  </w:p>
  <w:p>
    <w:pPr>
      <w:pStyle w:val="15"/>
      <w:pBdr>
        <w:bottom w:val="thickThinLargeGap" w:color="auto" w:sz="24" w:space="10"/>
      </w:pBdr>
      <w:tabs>
        <w:tab w:val="right" w:pos="8280"/>
      </w:tabs>
      <w:wordWrap w:val="0"/>
      <w:adjustRightInd w:val="0"/>
      <w:ind w:firstLine="181" w:firstLineChars="10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JkMWViZjk3MjhmMTUwYWVlZDFkNzljOGU2YWJhODEifQ=="/>
  </w:docVars>
  <w:rsids>
    <w:rsidRoot w:val="00172A27"/>
    <w:rsid w:val="000016A1"/>
    <w:rsid w:val="00001E2E"/>
    <w:rsid w:val="000047F2"/>
    <w:rsid w:val="000052BD"/>
    <w:rsid w:val="00006526"/>
    <w:rsid w:val="000073F3"/>
    <w:rsid w:val="0001172D"/>
    <w:rsid w:val="00012205"/>
    <w:rsid w:val="0001389C"/>
    <w:rsid w:val="000141A7"/>
    <w:rsid w:val="000209B7"/>
    <w:rsid w:val="00021451"/>
    <w:rsid w:val="000215C7"/>
    <w:rsid w:val="00021BF7"/>
    <w:rsid w:val="000233FB"/>
    <w:rsid w:val="00023F0A"/>
    <w:rsid w:val="0002724F"/>
    <w:rsid w:val="00030239"/>
    <w:rsid w:val="0003198D"/>
    <w:rsid w:val="00032F2C"/>
    <w:rsid w:val="000345D6"/>
    <w:rsid w:val="000365A1"/>
    <w:rsid w:val="0004166F"/>
    <w:rsid w:val="00042221"/>
    <w:rsid w:val="00042E95"/>
    <w:rsid w:val="00045C60"/>
    <w:rsid w:val="00045FF7"/>
    <w:rsid w:val="00055256"/>
    <w:rsid w:val="00055E1D"/>
    <w:rsid w:val="00060AA2"/>
    <w:rsid w:val="0006286C"/>
    <w:rsid w:val="00063E11"/>
    <w:rsid w:val="00065143"/>
    <w:rsid w:val="00067077"/>
    <w:rsid w:val="00067E29"/>
    <w:rsid w:val="0007676B"/>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5F0B"/>
    <w:rsid w:val="000C66F8"/>
    <w:rsid w:val="000C6CA3"/>
    <w:rsid w:val="000C785B"/>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5A7D"/>
    <w:rsid w:val="00116696"/>
    <w:rsid w:val="00117923"/>
    <w:rsid w:val="00123583"/>
    <w:rsid w:val="001249B1"/>
    <w:rsid w:val="00124ADF"/>
    <w:rsid w:val="001256B2"/>
    <w:rsid w:val="00125A39"/>
    <w:rsid w:val="00136F50"/>
    <w:rsid w:val="00145951"/>
    <w:rsid w:val="00145FB3"/>
    <w:rsid w:val="00150F88"/>
    <w:rsid w:val="00151C5F"/>
    <w:rsid w:val="00153821"/>
    <w:rsid w:val="00153A6A"/>
    <w:rsid w:val="0015605F"/>
    <w:rsid w:val="00156B9B"/>
    <w:rsid w:val="00166F3C"/>
    <w:rsid w:val="001676C5"/>
    <w:rsid w:val="001719A6"/>
    <w:rsid w:val="00172A27"/>
    <w:rsid w:val="001739F3"/>
    <w:rsid w:val="00174864"/>
    <w:rsid w:val="00176250"/>
    <w:rsid w:val="001767D5"/>
    <w:rsid w:val="00180944"/>
    <w:rsid w:val="00181F8E"/>
    <w:rsid w:val="00183919"/>
    <w:rsid w:val="00184F16"/>
    <w:rsid w:val="001913D5"/>
    <w:rsid w:val="0019368D"/>
    <w:rsid w:val="001A0DEE"/>
    <w:rsid w:val="001A331C"/>
    <w:rsid w:val="001A3B4F"/>
    <w:rsid w:val="001B3D1B"/>
    <w:rsid w:val="001C2E83"/>
    <w:rsid w:val="001C5549"/>
    <w:rsid w:val="001C5FB8"/>
    <w:rsid w:val="001C627B"/>
    <w:rsid w:val="001C6A43"/>
    <w:rsid w:val="001D33CF"/>
    <w:rsid w:val="001D5339"/>
    <w:rsid w:val="001D5DA7"/>
    <w:rsid w:val="001D6D21"/>
    <w:rsid w:val="001E09D0"/>
    <w:rsid w:val="001E0B5B"/>
    <w:rsid w:val="001E22BC"/>
    <w:rsid w:val="001E4956"/>
    <w:rsid w:val="001E604C"/>
    <w:rsid w:val="001E7309"/>
    <w:rsid w:val="001F0442"/>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373D3"/>
    <w:rsid w:val="00240294"/>
    <w:rsid w:val="00241D65"/>
    <w:rsid w:val="00244658"/>
    <w:rsid w:val="00246158"/>
    <w:rsid w:val="002464CF"/>
    <w:rsid w:val="00246E81"/>
    <w:rsid w:val="002476E6"/>
    <w:rsid w:val="00252015"/>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B66DC"/>
    <w:rsid w:val="002C13C1"/>
    <w:rsid w:val="002C27E7"/>
    <w:rsid w:val="002C3012"/>
    <w:rsid w:val="002C7D8E"/>
    <w:rsid w:val="002D121A"/>
    <w:rsid w:val="002D407E"/>
    <w:rsid w:val="002E0E0E"/>
    <w:rsid w:val="002E2C93"/>
    <w:rsid w:val="002E388A"/>
    <w:rsid w:val="002E4681"/>
    <w:rsid w:val="002E6E2C"/>
    <w:rsid w:val="002F1BB8"/>
    <w:rsid w:val="002F1C19"/>
    <w:rsid w:val="002F228E"/>
    <w:rsid w:val="002F3164"/>
    <w:rsid w:val="002F354F"/>
    <w:rsid w:val="002F467D"/>
    <w:rsid w:val="002F5D80"/>
    <w:rsid w:val="002F6D00"/>
    <w:rsid w:val="002F7889"/>
    <w:rsid w:val="003018A8"/>
    <w:rsid w:val="003052A7"/>
    <w:rsid w:val="00306441"/>
    <w:rsid w:val="003161C7"/>
    <w:rsid w:val="00317875"/>
    <w:rsid w:val="003178C0"/>
    <w:rsid w:val="003227BA"/>
    <w:rsid w:val="003255D5"/>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071"/>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1B14"/>
    <w:rsid w:val="004132EA"/>
    <w:rsid w:val="004134A1"/>
    <w:rsid w:val="00414562"/>
    <w:rsid w:val="0042301D"/>
    <w:rsid w:val="00423612"/>
    <w:rsid w:val="00424866"/>
    <w:rsid w:val="00426FD8"/>
    <w:rsid w:val="00431E1F"/>
    <w:rsid w:val="00433900"/>
    <w:rsid w:val="00435E5C"/>
    <w:rsid w:val="00436CF2"/>
    <w:rsid w:val="00437361"/>
    <w:rsid w:val="00444664"/>
    <w:rsid w:val="00444AD5"/>
    <w:rsid w:val="00445CFA"/>
    <w:rsid w:val="00446E41"/>
    <w:rsid w:val="00446FBB"/>
    <w:rsid w:val="0045304A"/>
    <w:rsid w:val="004530E2"/>
    <w:rsid w:val="0045487E"/>
    <w:rsid w:val="0045508F"/>
    <w:rsid w:val="00460B00"/>
    <w:rsid w:val="00467615"/>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D117B"/>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82A"/>
    <w:rsid w:val="0056024C"/>
    <w:rsid w:val="005602FE"/>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5F3525"/>
    <w:rsid w:val="006001EC"/>
    <w:rsid w:val="00605764"/>
    <w:rsid w:val="00605F23"/>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2B7"/>
    <w:rsid w:val="006B7502"/>
    <w:rsid w:val="006C1201"/>
    <w:rsid w:val="006C14BB"/>
    <w:rsid w:val="006C7443"/>
    <w:rsid w:val="006D1109"/>
    <w:rsid w:val="006D4A61"/>
    <w:rsid w:val="006D6CDD"/>
    <w:rsid w:val="006D7EB4"/>
    <w:rsid w:val="006E07CD"/>
    <w:rsid w:val="006E4978"/>
    <w:rsid w:val="006F08E6"/>
    <w:rsid w:val="006F0FA1"/>
    <w:rsid w:val="006F1407"/>
    <w:rsid w:val="006F159D"/>
    <w:rsid w:val="006F3061"/>
    <w:rsid w:val="006F35E0"/>
    <w:rsid w:val="006F4C91"/>
    <w:rsid w:val="006F6966"/>
    <w:rsid w:val="006F6C9E"/>
    <w:rsid w:val="007003CA"/>
    <w:rsid w:val="00705A9A"/>
    <w:rsid w:val="00705AB8"/>
    <w:rsid w:val="00716497"/>
    <w:rsid w:val="00720B3A"/>
    <w:rsid w:val="007216E0"/>
    <w:rsid w:val="007219F7"/>
    <w:rsid w:val="00726D7A"/>
    <w:rsid w:val="00731391"/>
    <w:rsid w:val="00731CC4"/>
    <w:rsid w:val="0073299F"/>
    <w:rsid w:val="00734BC4"/>
    <w:rsid w:val="007369E8"/>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E0F86"/>
    <w:rsid w:val="007E1220"/>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1572"/>
    <w:rsid w:val="00833DA0"/>
    <w:rsid w:val="00837439"/>
    <w:rsid w:val="0084117B"/>
    <w:rsid w:val="00842ECC"/>
    <w:rsid w:val="00844C52"/>
    <w:rsid w:val="00844FAC"/>
    <w:rsid w:val="00847D06"/>
    <w:rsid w:val="008526AD"/>
    <w:rsid w:val="00852A74"/>
    <w:rsid w:val="00853C9B"/>
    <w:rsid w:val="0085467A"/>
    <w:rsid w:val="00855E29"/>
    <w:rsid w:val="00856912"/>
    <w:rsid w:val="00862721"/>
    <w:rsid w:val="00863B57"/>
    <w:rsid w:val="00870710"/>
    <w:rsid w:val="00871266"/>
    <w:rsid w:val="00871450"/>
    <w:rsid w:val="008739A5"/>
    <w:rsid w:val="00895DC9"/>
    <w:rsid w:val="008A3830"/>
    <w:rsid w:val="008A5426"/>
    <w:rsid w:val="008A6706"/>
    <w:rsid w:val="008B0B17"/>
    <w:rsid w:val="008B1FC9"/>
    <w:rsid w:val="008B20D2"/>
    <w:rsid w:val="008B3D15"/>
    <w:rsid w:val="008B4562"/>
    <w:rsid w:val="008B5D1E"/>
    <w:rsid w:val="008B60CD"/>
    <w:rsid w:val="008B64A4"/>
    <w:rsid w:val="008C1F51"/>
    <w:rsid w:val="008C41BB"/>
    <w:rsid w:val="008C4E5E"/>
    <w:rsid w:val="008C77FD"/>
    <w:rsid w:val="008D0202"/>
    <w:rsid w:val="008D0B1A"/>
    <w:rsid w:val="008D1177"/>
    <w:rsid w:val="008D43FD"/>
    <w:rsid w:val="008E5137"/>
    <w:rsid w:val="008E5682"/>
    <w:rsid w:val="008E67DB"/>
    <w:rsid w:val="008E6FBA"/>
    <w:rsid w:val="008F0E09"/>
    <w:rsid w:val="008F14E7"/>
    <w:rsid w:val="008F24C8"/>
    <w:rsid w:val="008F2BE2"/>
    <w:rsid w:val="00905340"/>
    <w:rsid w:val="0090798A"/>
    <w:rsid w:val="00907AEC"/>
    <w:rsid w:val="00911B78"/>
    <w:rsid w:val="009122AA"/>
    <w:rsid w:val="00914791"/>
    <w:rsid w:val="0091725B"/>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1161"/>
    <w:rsid w:val="0097370D"/>
    <w:rsid w:val="009768D0"/>
    <w:rsid w:val="0097776B"/>
    <w:rsid w:val="00977B2B"/>
    <w:rsid w:val="00977C61"/>
    <w:rsid w:val="00983820"/>
    <w:rsid w:val="00983DF9"/>
    <w:rsid w:val="00987518"/>
    <w:rsid w:val="009917A6"/>
    <w:rsid w:val="00993714"/>
    <w:rsid w:val="009969BB"/>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25BC"/>
    <w:rsid w:val="00A17171"/>
    <w:rsid w:val="00A205B4"/>
    <w:rsid w:val="00A20F62"/>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773F"/>
    <w:rsid w:val="00A97F9F"/>
    <w:rsid w:val="00AA0BFE"/>
    <w:rsid w:val="00AA2082"/>
    <w:rsid w:val="00AB009C"/>
    <w:rsid w:val="00AB633E"/>
    <w:rsid w:val="00AB7231"/>
    <w:rsid w:val="00AB7FE4"/>
    <w:rsid w:val="00AC18A8"/>
    <w:rsid w:val="00AC3CEC"/>
    <w:rsid w:val="00AC4A57"/>
    <w:rsid w:val="00AD4F90"/>
    <w:rsid w:val="00AD57C7"/>
    <w:rsid w:val="00AD74DA"/>
    <w:rsid w:val="00AD7F32"/>
    <w:rsid w:val="00AE3332"/>
    <w:rsid w:val="00AE4780"/>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431B"/>
    <w:rsid w:val="00B3762A"/>
    <w:rsid w:val="00B4101D"/>
    <w:rsid w:val="00B41509"/>
    <w:rsid w:val="00B43375"/>
    <w:rsid w:val="00B52FAD"/>
    <w:rsid w:val="00B56276"/>
    <w:rsid w:val="00B606E5"/>
    <w:rsid w:val="00B606E6"/>
    <w:rsid w:val="00B61A35"/>
    <w:rsid w:val="00B66F01"/>
    <w:rsid w:val="00B70428"/>
    <w:rsid w:val="00B70DB8"/>
    <w:rsid w:val="00B72632"/>
    <w:rsid w:val="00B73C10"/>
    <w:rsid w:val="00B74A78"/>
    <w:rsid w:val="00B74F12"/>
    <w:rsid w:val="00B75AC5"/>
    <w:rsid w:val="00B76971"/>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3E98"/>
    <w:rsid w:val="00BC4611"/>
    <w:rsid w:val="00BC68AA"/>
    <w:rsid w:val="00BD020C"/>
    <w:rsid w:val="00BD0D17"/>
    <w:rsid w:val="00BD4663"/>
    <w:rsid w:val="00BD6425"/>
    <w:rsid w:val="00BE4092"/>
    <w:rsid w:val="00BF0849"/>
    <w:rsid w:val="00BF33D6"/>
    <w:rsid w:val="00BF3E98"/>
    <w:rsid w:val="00C00374"/>
    <w:rsid w:val="00C02553"/>
    <w:rsid w:val="00C02E9B"/>
    <w:rsid w:val="00C041E1"/>
    <w:rsid w:val="00C07640"/>
    <w:rsid w:val="00C07F32"/>
    <w:rsid w:val="00C10A0B"/>
    <w:rsid w:val="00C11510"/>
    <w:rsid w:val="00C12A4D"/>
    <w:rsid w:val="00C133AC"/>
    <w:rsid w:val="00C149B9"/>
    <w:rsid w:val="00C16ED4"/>
    <w:rsid w:val="00C17007"/>
    <w:rsid w:val="00C226AB"/>
    <w:rsid w:val="00C266C0"/>
    <w:rsid w:val="00C27CD2"/>
    <w:rsid w:val="00C320BC"/>
    <w:rsid w:val="00C32A5C"/>
    <w:rsid w:val="00C348DE"/>
    <w:rsid w:val="00C349B7"/>
    <w:rsid w:val="00C3641F"/>
    <w:rsid w:val="00C40580"/>
    <w:rsid w:val="00C4092B"/>
    <w:rsid w:val="00C4198D"/>
    <w:rsid w:val="00C41A12"/>
    <w:rsid w:val="00C41D76"/>
    <w:rsid w:val="00C46269"/>
    <w:rsid w:val="00C5061E"/>
    <w:rsid w:val="00C527BF"/>
    <w:rsid w:val="00C550E2"/>
    <w:rsid w:val="00C561B4"/>
    <w:rsid w:val="00C569F3"/>
    <w:rsid w:val="00C57F3A"/>
    <w:rsid w:val="00C6524D"/>
    <w:rsid w:val="00C6577D"/>
    <w:rsid w:val="00C66942"/>
    <w:rsid w:val="00C80014"/>
    <w:rsid w:val="00C90BFF"/>
    <w:rsid w:val="00C9379A"/>
    <w:rsid w:val="00C95DF3"/>
    <w:rsid w:val="00C97D8A"/>
    <w:rsid w:val="00C97F28"/>
    <w:rsid w:val="00CA42AB"/>
    <w:rsid w:val="00CA504C"/>
    <w:rsid w:val="00CA767B"/>
    <w:rsid w:val="00CB118D"/>
    <w:rsid w:val="00CB24A2"/>
    <w:rsid w:val="00CC153D"/>
    <w:rsid w:val="00CC5DA1"/>
    <w:rsid w:val="00CD1A38"/>
    <w:rsid w:val="00CD1ED6"/>
    <w:rsid w:val="00CD4530"/>
    <w:rsid w:val="00CE04EA"/>
    <w:rsid w:val="00CE21A3"/>
    <w:rsid w:val="00CE3D7D"/>
    <w:rsid w:val="00CE5271"/>
    <w:rsid w:val="00CF07E7"/>
    <w:rsid w:val="00CF20EC"/>
    <w:rsid w:val="00D044FA"/>
    <w:rsid w:val="00D06A40"/>
    <w:rsid w:val="00D07F3D"/>
    <w:rsid w:val="00D11889"/>
    <w:rsid w:val="00D143FA"/>
    <w:rsid w:val="00D14989"/>
    <w:rsid w:val="00D1696F"/>
    <w:rsid w:val="00D200E4"/>
    <w:rsid w:val="00D246C7"/>
    <w:rsid w:val="00D330E4"/>
    <w:rsid w:val="00D354C6"/>
    <w:rsid w:val="00D4074A"/>
    <w:rsid w:val="00D4395E"/>
    <w:rsid w:val="00D44376"/>
    <w:rsid w:val="00D4445B"/>
    <w:rsid w:val="00D501A2"/>
    <w:rsid w:val="00D50C49"/>
    <w:rsid w:val="00D51521"/>
    <w:rsid w:val="00D515DA"/>
    <w:rsid w:val="00D57FB6"/>
    <w:rsid w:val="00D62BAC"/>
    <w:rsid w:val="00D66F78"/>
    <w:rsid w:val="00D705DA"/>
    <w:rsid w:val="00D77ADC"/>
    <w:rsid w:val="00D77F0D"/>
    <w:rsid w:val="00D81FE7"/>
    <w:rsid w:val="00D82893"/>
    <w:rsid w:val="00D8308D"/>
    <w:rsid w:val="00D833EB"/>
    <w:rsid w:val="00D837CC"/>
    <w:rsid w:val="00D92526"/>
    <w:rsid w:val="00D9748A"/>
    <w:rsid w:val="00DA43E0"/>
    <w:rsid w:val="00DA5A27"/>
    <w:rsid w:val="00DA6E0E"/>
    <w:rsid w:val="00DA78A9"/>
    <w:rsid w:val="00DA7A2B"/>
    <w:rsid w:val="00DB201C"/>
    <w:rsid w:val="00DB2DB0"/>
    <w:rsid w:val="00DB3857"/>
    <w:rsid w:val="00DB44A2"/>
    <w:rsid w:val="00DC0F23"/>
    <w:rsid w:val="00DC18EE"/>
    <w:rsid w:val="00DC2771"/>
    <w:rsid w:val="00DC295F"/>
    <w:rsid w:val="00DC3C57"/>
    <w:rsid w:val="00DC40E4"/>
    <w:rsid w:val="00DC7C02"/>
    <w:rsid w:val="00DD2FE5"/>
    <w:rsid w:val="00DD6FE7"/>
    <w:rsid w:val="00DF3437"/>
    <w:rsid w:val="00DF3F05"/>
    <w:rsid w:val="00DF6B27"/>
    <w:rsid w:val="00DF749F"/>
    <w:rsid w:val="00DF7FC5"/>
    <w:rsid w:val="00E03447"/>
    <w:rsid w:val="00E03ECE"/>
    <w:rsid w:val="00E0477B"/>
    <w:rsid w:val="00E072D2"/>
    <w:rsid w:val="00E12287"/>
    <w:rsid w:val="00E1770C"/>
    <w:rsid w:val="00E22677"/>
    <w:rsid w:val="00E23CB4"/>
    <w:rsid w:val="00E23CE7"/>
    <w:rsid w:val="00E3045C"/>
    <w:rsid w:val="00E30CD1"/>
    <w:rsid w:val="00E323CD"/>
    <w:rsid w:val="00E34CBA"/>
    <w:rsid w:val="00E35DA5"/>
    <w:rsid w:val="00E36F2B"/>
    <w:rsid w:val="00E37E1A"/>
    <w:rsid w:val="00E4276E"/>
    <w:rsid w:val="00E44D44"/>
    <w:rsid w:val="00E44FFE"/>
    <w:rsid w:val="00E50662"/>
    <w:rsid w:val="00E51C4F"/>
    <w:rsid w:val="00E57E75"/>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5C7"/>
    <w:rsid w:val="00ED2BA5"/>
    <w:rsid w:val="00ED3882"/>
    <w:rsid w:val="00ED3E6B"/>
    <w:rsid w:val="00ED5759"/>
    <w:rsid w:val="00EE183A"/>
    <w:rsid w:val="00EE263C"/>
    <w:rsid w:val="00EE3D96"/>
    <w:rsid w:val="00EE7357"/>
    <w:rsid w:val="00EF191E"/>
    <w:rsid w:val="00EF4162"/>
    <w:rsid w:val="00EF6103"/>
    <w:rsid w:val="00EF78C4"/>
    <w:rsid w:val="00F00C67"/>
    <w:rsid w:val="00F0469D"/>
    <w:rsid w:val="00F046EC"/>
    <w:rsid w:val="00F0558F"/>
    <w:rsid w:val="00F05739"/>
    <w:rsid w:val="00F0768A"/>
    <w:rsid w:val="00F07962"/>
    <w:rsid w:val="00F104F1"/>
    <w:rsid w:val="00F12096"/>
    <w:rsid w:val="00F12A59"/>
    <w:rsid w:val="00F12E33"/>
    <w:rsid w:val="00F1386E"/>
    <w:rsid w:val="00F14579"/>
    <w:rsid w:val="00F16B95"/>
    <w:rsid w:val="00F16D1C"/>
    <w:rsid w:val="00F2211E"/>
    <w:rsid w:val="00F23DF7"/>
    <w:rsid w:val="00F243AF"/>
    <w:rsid w:val="00F33834"/>
    <w:rsid w:val="00F34661"/>
    <w:rsid w:val="00F3550C"/>
    <w:rsid w:val="00F4075D"/>
    <w:rsid w:val="00F41743"/>
    <w:rsid w:val="00F43CC2"/>
    <w:rsid w:val="00F45279"/>
    <w:rsid w:val="00F45D4D"/>
    <w:rsid w:val="00F477AD"/>
    <w:rsid w:val="00F4787A"/>
    <w:rsid w:val="00F54677"/>
    <w:rsid w:val="00F55612"/>
    <w:rsid w:val="00F56998"/>
    <w:rsid w:val="00F611C6"/>
    <w:rsid w:val="00F640CB"/>
    <w:rsid w:val="00F652FF"/>
    <w:rsid w:val="00F6638A"/>
    <w:rsid w:val="00F6673D"/>
    <w:rsid w:val="00F6765C"/>
    <w:rsid w:val="00F7607C"/>
    <w:rsid w:val="00F845DD"/>
    <w:rsid w:val="00F84ACA"/>
    <w:rsid w:val="00F865A9"/>
    <w:rsid w:val="00F8733E"/>
    <w:rsid w:val="00F913B7"/>
    <w:rsid w:val="00F91EA4"/>
    <w:rsid w:val="00F92464"/>
    <w:rsid w:val="00FA07AA"/>
    <w:rsid w:val="00FA10AA"/>
    <w:rsid w:val="00FA2F7C"/>
    <w:rsid w:val="00FA3BF1"/>
    <w:rsid w:val="00FB0D3D"/>
    <w:rsid w:val="00FB166A"/>
    <w:rsid w:val="00FB7721"/>
    <w:rsid w:val="00FC5827"/>
    <w:rsid w:val="00FC64D6"/>
    <w:rsid w:val="00FC6768"/>
    <w:rsid w:val="00FD08DF"/>
    <w:rsid w:val="00FD4E32"/>
    <w:rsid w:val="00FD771E"/>
    <w:rsid w:val="00FD7F16"/>
    <w:rsid w:val="00FE1886"/>
    <w:rsid w:val="00FE2B6B"/>
    <w:rsid w:val="00FE441D"/>
    <w:rsid w:val="00FF0956"/>
    <w:rsid w:val="00FF46EE"/>
    <w:rsid w:val="0DE20B45"/>
    <w:rsid w:val="0EC469F2"/>
    <w:rsid w:val="149E474A"/>
    <w:rsid w:val="22096B58"/>
    <w:rsid w:val="314F5290"/>
    <w:rsid w:val="35C863A1"/>
    <w:rsid w:val="373B4A20"/>
    <w:rsid w:val="416B790C"/>
    <w:rsid w:val="41A43D24"/>
    <w:rsid w:val="45F574B3"/>
    <w:rsid w:val="4F9B33E8"/>
    <w:rsid w:val="648448DA"/>
    <w:rsid w:val="6AAF1C3F"/>
    <w:rsid w:val="6DD716B3"/>
    <w:rsid w:val="6E583F53"/>
    <w:rsid w:val="71AB28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 w:type="paragraph" w:customStyle="1" w:styleId="68">
    <w:name w:val="修订2"/>
    <w:hidden/>
    <w:semiHidden/>
    <w:qFormat/>
    <w:uiPriority w:val="99"/>
    <w:rPr>
      <w:rFonts w:ascii="Times New Roman" w:hAnsi="Times New Roman" w:eastAsia="宋体" w:cs="Times New Roman"/>
      <w:kern w:val="2"/>
      <w:sz w:val="21"/>
      <w:lang w:val="en-US" w:eastAsia="zh-CN" w:bidi="ar-SA"/>
    </w:rPr>
  </w:style>
  <w:style w:type="paragraph" w:customStyle="1" w:styleId="69">
    <w:name w:val="修订3"/>
    <w:hidden/>
    <w:semiHidden/>
    <w:qFormat/>
    <w:uiPriority w:val="99"/>
    <w:rPr>
      <w:rFonts w:ascii="Times New Roman" w:hAnsi="Times New Roman" w:eastAsia="宋体" w:cs="Times New Roman"/>
      <w:kern w:val="2"/>
      <w:sz w:val="21"/>
      <w:lang w:val="en-US" w:eastAsia="zh-CN" w:bidi="ar-SA"/>
    </w:rPr>
  </w:style>
  <w:style w:type="paragraph" w:customStyle="1" w:styleId="70">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5"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2.jpeg"/><Relationship Id="rId20" Type="http://schemas.openxmlformats.org/officeDocument/2006/relationships/image" Target="media/image1.jpe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A1DD71-0872-4528-B791-3FC40F793C6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8904</Words>
  <Characters>9060</Characters>
  <Lines>71</Lines>
  <Paragraphs>20</Paragraphs>
  <TotalTime>1</TotalTime>
  <ScaleCrop>false</ScaleCrop>
  <LinksUpToDate>false</LinksUpToDate>
  <CharactersWithSpaces>9282</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2021-03-29T01:33:00Z</dcterms:created>
  <dc:creator>Mandy.Z</dc:creator>
  <cp:lastModifiedBy>高炳荣</cp:lastModifiedBy>
  <cp:lastPrinted>2017-10-31T06:33:00Z</cp:lastPrinted>
  <dcterms:modified xsi:type="dcterms:W3CDTF">2022-05-31T02:56:08Z</dcterms:modified>
  <dc:title>___证券投资基金招募说明书1</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C166FDD168F74BAFB715BD6389AD620E</vt:lpwstr>
  </property>
</Properties>
</file>